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75" w:rsidRPr="008F3CF9" w:rsidRDefault="00B96675" w:rsidP="00443C22">
      <w:pPr>
        <w:spacing w:beforeLines="100" w:afterLines="100" w:line="360" w:lineRule="auto"/>
        <w:jc w:val="center"/>
        <w:rPr>
          <w:rFonts w:ascii="黑体" w:eastAsia="黑体"/>
          <w:sz w:val="32"/>
        </w:rPr>
      </w:pPr>
      <w:r w:rsidRPr="008F3CF9">
        <w:rPr>
          <w:rFonts w:ascii="黑体" w:eastAsia="黑体" w:hint="eastAsia"/>
          <w:sz w:val="32"/>
        </w:rPr>
        <w:t>关于召开省级“质量工程”立项项目论证会的通知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 w:hint="eastAsia"/>
          <w:sz w:val="28"/>
          <w:szCs w:val="28"/>
        </w:rPr>
        <w:t>自</w:t>
      </w:r>
      <w:r w:rsidRPr="008F3CF9">
        <w:rPr>
          <w:rFonts w:ascii="仿宋_GB2312" w:eastAsia="仿宋_GB2312"/>
          <w:sz w:val="28"/>
          <w:szCs w:val="28"/>
        </w:rPr>
        <w:t>2012</w:t>
      </w:r>
      <w:r w:rsidRPr="008F3CF9">
        <w:rPr>
          <w:rFonts w:ascii="仿宋_GB2312" w:eastAsia="仿宋_GB2312" w:hint="eastAsia"/>
          <w:sz w:val="28"/>
          <w:szCs w:val="28"/>
        </w:rPr>
        <w:t>年以来学校围绕湖北省高等学校本科教学质量与教学改革工程项目，狠抓学科专业建设，取得了一定成效，</w:t>
      </w:r>
      <w:r>
        <w:rPr>
          <w:rFonts w:ascii="仿宋_GB2312" w:eastAsia="仿宋_GB2312" w:hint="eastAsia"/>
          <w:sz w:val="28"/>
          <w:szCs w:val="28"/>
        </w:rPr>
        <w:t>累计</w:t>
      </w:r>
      <w:r w:rsidRPr="008F3CF9">
        <w:rPr>
          <w:rFonts w:ascii="仿宋_GB2312" w:eastAsia="仿宋_GB2312" w:hint="eastAsia"/>
          <w:sz w:val="28"/>
          <w:szCs w:val="28"/>
        </w:rPr>
        <w:t>已有</w:t>
      </w:r>
      <w:r w:rsidRPr="008F3CF9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项</w:t>
      </w:r>
      <w:r w:rsidRPr="008F3CF9">
        <w:rPr>
          <w:rFonts w:ascii="仿宋_GB2312" w:eastAsia="仿宋_GB2312" w:hint="eastAsia"/>
          <w:sz w:val="28"/>
          <w:szCs w:val="28"/>
        </w:rPr>
        <w:t>项目获批立项。根据省教育厅相关文件精神，经学校研究，决定对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项</w:t>
      </w:r>
      <w:r w:rsidRPr="008F3CF9">
        <w:rPr>
          <w:rFonts w:ascii="仿宋_GB2312" w:eastAsia="仿宋_GB2312" w:hint="eastAsia"/>
          <w:sz w:val="28"/>
          <w:szCs w:val="28"/>
        </w:rPr>
        <w:t>已立项</w:t>
      </w:r>
      <w:r>
        <w:rPr>
          <w:rFonts w:ascii="仿宋_GB2312" w:eastAsia="仿宋_GB2312" w:hint="eastAsia"/>
          <w:sz w:val="28"/>
          <w:szCs w:val="28"/>
        </w:rPr>
        <w:t>、尚未签订校内建设任务书</w:t>
      </w:r>
      <w:r w:rsidRPr="008F3CF9">
        <w:rPr>
          <w:rFonts w:ascii="仿宋_GB2312" w:eastAsia="仿宋_GB2312" w:hint="eastAsia"/>
          <w:sz w:val="28"/>
          <w:szCs w:val="28"/>
        </w:rPr>
        <w:t>的省级质量工程项目的建设计划和方案进行专家论证</w:t>
      </w:r>
      <w:r>
        <w:rPr>
          <w:rFonts w:ascii="仿宋_GB2312" w:eastAsia="仿宋_GB2312" w:hint="eastAsia"/>
          <w:sz w:val="28"/>
          <w:szCs w:val="28"/>
        </w:rPr>
        <w:t>。</w:t>
      </w:r>
      <w:r w:rsidRPr="008F3CF9">
        <w:rPr>
          <w:rFonts w:ascii="仿宋_GB2312" w:eastAsia="仿宋_GB2312" w:hint="eastAsia"/>
          <w:sz w:val="28"/>
          <w:szCs w:val="28"/>
        </w:rPr>
        <w:t>现将具体安排通知如下：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 w:rsidRPr="008F3CF9">
        <w:rPr>
          <w:rFonts w:ascii="仿宋_GB2312" w:eastAsia="仿宋_GB2312" w:hint="eastAsia"/>
          <w:b/>
          <w:sz w:val="28"/>
          <w:szCs w:val="28"/>
        </w:rPr>
        <w:t>一、论证项目范围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3</w:t>
      </w:r>
      <w:r w:rsidRPr="008F3CF9">
        <w:rPr>
          <w:rFonts w:ascii="仿宋_GB2312" w:eastAsia="仿宋_GB2312" w:hint="eastAsia"/>
          <w:sz w:val="28"/>
          <w:szCs w:val="28"/>
        </w:rPr>
        <w:t>年以来获批立项的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项</w:t>
      </w:r>
      <w:r w:rsidRPr="008F3CF9">
        <w:rPr>
          <w:rFonts w:ascii="仿宋_GB2312" w:eastAsia="仿宋_GB2312" w:hint="eastAsia"/>
          <w:sz w:val="28"/>
          <w:szCs w:val="28"/>
        </w:rPr>
        <w:t>省级质量工程项目，包括：</w:t>
      </w:r>
    </w:p>
    <w:p w:rsidR="00B96675" w:rsidRPr="00500B85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 w:rsidRPr="00500B85">
        <w:rPr>
          <w:rFonts w:ascii="仿宋_GB2312" w:eastAsia="仿宋_GB2312" w:hint="eastAsia"/>
          <w:b/>
          <w:sz w:val="28"/>
          <w:szCs w:val="28"/>
        </w:rPr>
        <w:t>（一）省“专业综合改革”试点项目</w:t>
      </w:r>
      <w:r>
        <w:rPr>
          <w:rFonts w:ascii="仿宋_GB2312" w:eastAsia="仿宋_GB2312"/>
          <w:b/>
          <w:sz w:val="28"/>
          <w:szCs w:val="28"/>
        </w:rPr>
        <w:t>3</w:t>
      </w:r>
      <w:r w:rsidRPr="00500B85">
        <w:rPr>
          <w:rFonts w:ascii="仿宋_GB2312" w:eastAsia="仿宋_GB2312" w:hint="eastAsia"/>
          <w:b/>
          <w:sz w:val="28"/>
          <w:szCs w:val="28"/>
        </w:rPr>
        <w:t>项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2013</w:t>
      </w:r>
      <w:r w:rsidRPr="008F3CF9">
        <w:rPr>
          <w:rFonts w:ascii="仿宋_GB2312" w:eastAsia="仿宋_GB2312" w:hint="eastAsia"/>
          <w:sz w:val="28"/>
          <w:szCs w:val="28"/>
        </w:rPr>
        <w:t>年度：环境工程专业、国际经济与贸易专业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2014</w:t>
      </w:r>
      <w:r w:rsidRPr="008F3CF9">
        <w:rPr>
          <w:rFonts w:ascii="仿宋_GB2312" w:eastAsia="仿宋_GB2312" w:hint="eastAsia"/>
          <w:sz w:val="28"/>
          <w:szCs w:val="28"/>
        </w:rPr>
        <w:t>年度：会计学专业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500B85">
        <w:rPr>
          <w:rFonts w:ascii="仿宋_GB2312" w:eastAsia="仿宋_GB2312" w:hint="eastAsia"/>
          <w:b/>
          <w:sz w:val="28"/>
          <w:szCs w:val="28"/>
        </w:rPr>
        <w:t>（二）“战略新兴（支柱）产业”人才培养计划项目</w:t>
      </w:r>
      <w:r>
        <w:rPr>
          <w:rFonts w:ascii="仿宋_GB2312" w:eastAsia="仿宋_GB2312"/>
          <w:b/>
          <w:sz w:val="28"/>
          <w:szCs w:val="28"/>
        </w:rPr>
        <w:t>1</w:t>
      </w:r>
      <w:r w:rsidRPr="00500B85">
        <w:rPr>
          <w:rFonts w:ascii="仿宋_GB2312" w:eastAsia="仿宋_GB2312" w:hint="eastAsia"/>
          <w:b/>
          <w:sz w:val="28"/>
          <w:szCs w:val="28"/>
        </w:rPr>
        <w:t>项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2015</w:t>
      </w:r>
      <w:r w:rsidRPr="008F3CF9">
        <w:rPr>
          <w:rFonts w:ascii="仿宋_GB2312" w:eastAsia="仿宋_GB2312" w:hint="eastAsia"/>
          <w:sz w:val="28"/>
          <w:szCs w:val="28"/>
        </w:rPr>
        <w:t>年度：生物工程专业</w:t>
      </w:r>
    </w:p>
    <w:p w:rsidR="00B96675" w:rsidRPr="00500B85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 w:rsidRPr="00500B85">
        <w:rPr>
          <w:rFonts w:ascii="仿宋_GB2312" w:eastAsia="仿宋_GB2312" w:hint="eastAsia"/>
          <w:b/>
          <w:sz w:val="28"/>
          <w:szCs w:val="28"/>
        </w:rPr>
        <w:t>（三）“湖北省高校省级实习实训基地”及“湖北省高校省级示范实习实训基地”</w:t>
      </w:r>
      <w:r w:rsidRPr="00500B85">
        <w:rPr>
          <w:rFonts w:ascii="仿宋_GB2312" w:eastAsia="仿宋_GB2312"/>
          <w:b/>
          <w:sz w:val="28"/>
          <w:szCs w:val="28"/>
        </w:rPr>
        <w:t>2</w:t>
      </w:r>
      <w:r w:rsidRPr="00500B85">
        <w:rPr>
          <w:rFonts w:ascii="仿宋_GB2312" w:eastAsia="仿宋_GB2312" w:hint="eastAsia"/>
          <w:b/>
          <w:sz w:val="28"/>
          <w:szCs w:val="28"/>
        </w:rPr>
        <w:t>项次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2013</w:t>
      </w:r>
      <w:r w:rsidRPr="008F3CF9">
        <w:rPr>
          <w:rFonts w:ascii="仿宋_GB2312" w:eastAsia="仿宋_GB2312" w:hint="eastAsia"/>
          <w:sz w:val="28"/>
          <w:szCs w:val="28"/>
        </w:rPr>
        <w:t>年度新闻与法学学院和湖北网络广播电视台共建的“湖北广播电视台实习实训基地”获批“湖北省高校省级实习实训基地”，</w:t>
      </w:r>
      <w:r w:rsidRPr="008F3CF9">
        <w:rPr>
          <w:rFonts w:ascii="仿宋_GB2312" w:eastAsia="仿宋_GB2312"/>
          <w:sz w:val="28"/>
          <w:szCs w:val="28"/>
        </w:rPr>
        <w:t>2014</w:t>
      </w:r>
      <w:r w:rsidRPr="008F3CF9">
        <w:rPr>
          <w:rFonts w:ascii="仿宋_GB2312" w:eastAsia="仿宋_GB2312" w:hint="eastAsia"/>
          <w:sz w:val="28"/>
          <w:szCs w:val="28"/>
        </w:rPr>
        <w:t>年获批“湖北省高校省级示范实习实训基地”。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 w:hint="eastAsia"/>
          <w:sz w:val="28"/>
          <w:szCs w:val="28"/>
        </w:rPr>
        <w:t>本次按“湖北省高校省级实习实训基地”进行论证。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 w:rsidRPr="008F3CF9">
        <w:rPr>
          <w:rFonts w:ascii="仿宋_GB2312" w:eastAsia="仿宋_GB2312" w:hint="eastAsia"/>
          <w:b/>
          <w:sz w:val="28"/>
          <w:szCs w:val="28"/>
        </w:rPr>
        <w:t>二、论证内容</w:t>
      </w:r>
    </w:p>
    <w:p w:rsidR="00B96675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结合上报省教育厅的项目申报书，</w:t>
      </w:r>
      <w:r w:rsidRPr="008F3CF9">
        <w:rPr>
          <w:rFonts w:ascii="仿宋_GB2312" w:eastAsia="仿宋_GB2312" w:hint="eastAsia"/>
          <w:sz w:val="28"/>
          <w:szCs w:val="28"/>
        </w:rPr>
        <w:t>主要</w:t>
      </w:r>
      <w:r>
        <w:rPr>
          <w:rFonts w:ascii="仿宋_GB2312" w:eastAsia="仿宋_GB2312" w:hint="eastAsia"/>
          <w:sz w:val="28"/>
          <w:szCs w:val="28"/>
        </w:rPr>
        <w:t>针</w:t>
      </w:r>
      <w:r w:rsidRPr="008F3CF9">
        <w:rPr>
          <w:rFonts w:ascii="仿宋_GB2312" w:eastAsia="仿宋_GB2312" w:hint="eastAsia"/>
          <w:sz w:val="28"/>
          <w:szCs w:val="28"/>
        </w:rPr>
        <w:t>对项目建设</w:t>
      </w:r>
      <w:r>
        <w:rPr>
          <w:rFonts w:ascii="仿宋_GB2312" w:eastAsia="仿宋_GB2312" w:hint="eastAsia"/>
          <w:sz w:val="28"/>
          <w:szCs w:val="28"/>
        </w:rPr>
        <w:t>的</w:t>
      </w:r>
      <w:r w:rsidRPr="008F3CF9">
        <w:rPr>
          <w:rFonts w:ascii="仿宋_GB2312" w:eastAsia="仿宋_GB2312" w:hint="eastAsia"/>
          <w:sz w:val="28"/>
          <w:szCs w:val="28"/>
        </w:rPr>
        <w:t>目标、内容、措施、改革方案、预期成果等进行论证。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 w:rsidRPr="008F3CF9">
        <w:rPr>
          <w:rFonts w:ascii="仿宋_GB2312" w:eastAsia="仿宋_GB2312" w:hint="eastAsia"/>
          <w:b/>
          <w:sz w:val="28"/>
          <w:szCs w:val="28"/>
        </w:rPr>
        <w:t>三、论证程序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 w:hint="eastAsia"/>
          <w:sz w:val="28"/>
          <w:szCs w:val="28"/>
        </w:rPr>
        <w:t>学校成立省级质量工程项目论证专家委员会，现场答辩采取项目负责人汇报、专家提问及项目组答疑、专家评议的方式进行。各项目负责人（或其指定代表人）汇报</w:t>
      </w:r>
      <w:r w:rsidRPr="008F3CF9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5</w:t>
      </w:r>
      <w:r w:rsidRPr="008F3CF9">
        <w:rPr>
          <w:rFonts w:ascii="仿宋_GB2312" w:eastAsia="仿宋_GB2312" w:hint="eastAsia"/>
          <w:sz w:val="28"/>
          <w:szCs w:val="28"/>
        </w:rPr>
        <w:t>分钟，提问答疑</w:t>
      </w:r>
      <w:r>
        <w:rPr>
          <w:rFonts w:ascii="仿宋_GB2312" w:eastAsia="仿宋_GB2312"/>
          <w:sz w:val="28"/>
          <w:szCs w:val="28"/>
        </w:rPr>
        <w:t>10</w:t>
      </w:r>
      <w:r w:rsidRPr="008F3CF9">
        <w:rPr>
          <w:rFonts w:ascii="仿宋_GB2312" w:eastAsia="仿宋_GB2312" w:hint="eastAsia"/>
          <w:sz w:val="28"/>
          <w:szCs w:val="28"/>
        </w:rPr>
        <w:t>分钟。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 w:rsidRPr="008F3CF9">
        <w:rPr>
          <w:rFonts w:ascii="仿宋_GB2312" w:eastAsia="仿宋_GB2312" w:hint="eastAsia"/>
          <w:b/>
          <w:sz w:val="28"/>
          <w:szCs w:val="28"/>
        </w:rPr>
        <w:t>四、论证时间及地点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 w:hint="eastAsia"/>
          <w:sz w:val="28"/>
          <w:szCs w:val="28"/>
        </w:rPr>
        <w:t>时间：本学期第</w:t>
      </w:r>
      <w:r w:rsidRPr="008F3CF9">
        <w:rPr>
          <w:rFonts w:ascii="仿宋_GB2312" w:eastAsia="仿宋_GB2312"/>
          <w:sz w:val="28"/>
          <w:szCs w:val="28"/>
        </w:rPr>
        <w:t>11</w:t>
      </w:r>
      <w:r w:rsidRPr="008F3CF9">
        <w:rPr>
          <w:rFonts w:ascii="仿宋_GB2312" w:eastAsia="仿宋_GB2312" w:hint="eastAsia"/>
          <w:sz w:val="28"/>
          <w:szCs w:val="28"/>
        </w:rPr>
        <w:t>周（具体时间另行通知）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 w:hint="eastAsia"/>
          <w:sz w:val="28"/>
          <w:szCs w:val="28"/>
        </w:rPr>
        <w:t>地点：行政楼三楼会议室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五、项目经费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 w:hint="eastAsia"/>
          <w:sz w:val="28"/>
          <w:szCs w:val="28"/>
        </w:rPr>
        <w:t>学校对获批立项的省级质量工程项目予以</w:t>
      </w:r>
      <w:r w:rsidRPr="008F3CF9">
        <w:rPr>
          <w:rFonts w:ascii="仿宋_GB2312" w:eastAsia="仿宋_GB2312"/>
          <w:sz w:val="28"/>
          <w:szCs w:val="28"/>
        </w:rPr>
        <w:t>5</w:t>
      </w:r>
      <w:r w:rsidRPr="008F3CF9">
        <w:rPr>
          <w:rFonts w:ascii="仿宋_GB2312" w:eastAsia="仿宋_GB2312" w:hint="eastAsia"/>
          <w:sz w:val="28"/>
          <w:szCs w:val="28"/>
        </w:rPr>
        <w:t>万元</w:t>
      </w:r>
      <w:r w:rsidRPr="008F3CF9">
        <w:rPr>
          <w:rFonts w:ascii="仿宋_GB2312" w:eastAsia="仿宋_GB2312"/>
          <w:sz w:val="28"/>
          <w:szCs w:val="28"/>
        </w:rPr>
        <w:t>/</w:t>
      </w:r>
      <w:r w:rsidRPr="008F3CF9">
        <w:rPr>
          <w:rFonts w:ascii="仿宋_GB2312" w:eastAsia="仿宋_GB2312" w:hint="eastAsia"/>
          <w:sz w:val="28"/>
          <w:szCs w:val="28"/>
        </w:rPr>
        <w:t>项的经费支助，划拨方式为：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Pr="008F3CF9"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建设方案</w:t>
      </w:r>
      <w:r w:rsidRPr="008F3CF9">
        <w:rPr>
          <w:rFonts w:ascii="仿宋_GB2312" w:eastAsia="仿宋_GB2312" w:hint="eastAsia"/>
          <w:sz w:val="28"/>
          <w:szCs w:val="28"/>
        </w:rPr>
        <w:t>论证通过</w:t>
      </w:r>
      <w:r>
        <w:rPr>
          <w:rFonts w:ascii="仿宋_GB2312" w:eastAsia="仿宋_GB2312" w:hint="eastAsia"/>
          <w:sz w:val="28"/>
          <w:szCs w:val="28"/>
        </w:rPr>
        <w:t>并签订建设任务书</w:t>
      </w:r>
      <w:r w:rsidRPr="008F3CF9">
        <w:rPr>
          <w:rFonts w:ascii="仿宋_GB2312" w:eastAsia="仿宋_GB2312" w:hint="eastAsia"/>
          <w:sz w:val="28"/>
          <w:szCs w:val="28"/>
        </w:rPr>
        <w:t>后按照</w:t>
      </w:r>
      <w:r>
        <w:rPr>
          <w:rFonts w:ascii="仿宋_GB2312" w:eastAsia="仿宋_GB2312" w:hint="eastAsia"/>
          <w:sz w:val="28"/>
          <w:szCs w:val="28"/>
        </w:rPr>
        <w:t>总经费的</w:t>
      </w:r>
      <w:r>
        <w:rPr>
          <w:rFonts w:ascii="仿宋_GB2312" w:eastAsia="仿宋_GB2312"/>
          <w:sz w:val="28"/>
          <w:szCs w:val="28"/>
        </w:rPr>
        <w:t>6</w:t>
      </w:r>
      <w:r w:rsidRPr="008F3CF9">
        <w:rPr>
          <w:rFonts w:ascii="仿宋_GB2312" w:eastAsia="仿宋_GB2312"/>
          <w:sz w:val="28"/>
          <w:szCs w:val="28"/>
        </w:rPr>
        <w:t>0%</w:t>
      </w:r>
      <w:r w:rsidRPr="008F3CF9">
        <w:rPr>
          <w:rFonts w:ascii="仿宋_GB2312" w:eastAsia="仿宋_GB2312" w:hint="eastAsia"/>
          <w:sz w:val="28"/>
          <w:szCs w:val="28"/>
        </w:rPr>
        <w:t>一次性划拨至各</w:t>
      </w:r>
      <w:r>
        <w:rPr>
          <w:rFonts w:ascii="仿宋_GB2312" w:eastAsia="仿宋_GB2312" w:hint="eastAsia"/>
          <w:sz w:val="28"/>
          <w:szCs w:val="28"/>
        </w:rPr>
        <w:t>项目组，项目验收通过后再拨付剩下的</w:t>
      </w:r>
      <w:r>
        <w:rPr>
          <w:rFonts w:ascii="仿宋_GB2312" w:eastAsia="仿宋_GB2312"/>
          <w:sz w:val="28"/>
          <w:szCs w:val="28"/>
        </w:rPr>
        <w:t>3</w:t>
      </w:r>
      <w:r w:rsidRPr="008F3CF9">
        <w:rPr>
          <w:rFonts w:ascii="仿宋_GB2312" w:eastAsia="仿宋_GB2312"/>
          <w:sz w:val="28"/>
          <w:szCs w:val="28"/>
        </w:rPr>
        <w:t>0%</w:t>
      </w:r>
      <w:r>
        <w:rPr>
          <w:rFonts w:ascii="仿宋_GB2312" w:eastAsia="仿宋_GB2312"/>
          <w:sz w:val="28"/>
          <w:szCs w:val="28"/>
        </w:rPr>
        <w:t>,10%</w:t>
      </w:r>
      <w:r>
        <w:rPr>
          <w:rFonts w:ascii="仿宋_GB2312" w:eastAsia="仿宋_GB2312" w:hint="eastAsia"/>
          <w:sz w:val="28"/>
          <w:szCs w:val="28"/>
        </w:rPr>
        <w:t>留作项目验收评审费由学校统一支配</w:t>
      </w:r>
      <w:r w:rsidRPr="008F3CF9">
        <w:rPr>
          <w:rFonts w:ascii="仿宋_GB2312" w:eastAsia="仿宋_GB2312" w:hint="eastAsia"/>
          <w:sz w:val="28"/>
          <w:szCs w:val="28"/>
        </w:rPr>
        <w:t>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Pr="008F3CF9">
        <w:rPr>
          <w:rFonts w:ascii="仿宋_GB2312" w:eastAsia="仿宋_GB2312"/>
          <w:sz w:val="28"/>
          <w:szCs w:val="28"/>
        </w:rPr>
        <w:t>.</w:t>
      </w:r>
      <w:r w:rsidRPr="008F3CF9">
        <w:rPr>
          <w:rFonts w:ascii="仿宋_GB2312" w:eastAsia="仿宋_GB2312" w:hint="eastAsia"/>
          <w:sz w:val="28"/>
          <w:szCs w:val="28"/>
        </w:rPr>
        <w:t>项目经费按《华中科技大学武昌分校教学研究项目管理办法》（校教</w:t>
      </w:r>
      <w:r w:rsidRPr="008F3CF9">
        <w:rPr>
          <w:rFonts w:ascii="仿宋_GB2312" w:eastAsia="仿宋_GB2312"/>
          <w:sz w:val="28"/>
          <w:szCs w:val="28"/>
        </w:rPr>
        <w:t>[2012]8</w:t>
      </w:r>
      <w:r w:rsidRPr="008F3CF9">
        <w:rPr>
          <w:rFonts w:ascii="仿宋_GB2312" w:eastAsia="仿宋_GB2312" w:hint="eastAsia"/>
          <w:sz w:val="28"/>
          <w:szCs w:val="28"/>
        </w:rPr>
        <w:t>号）及学校财务相关管理规定进行报销。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b/>
          <w:sz w:val="28"/>
          <w:szCs w:val="28"/>
        </w:rPr>
      </w:pPr>
      <w:r w:rsidRPr="008F3CF9">
        <w:rPr>
          <w:rFonts w:ascii="仿宋_GB2312" w:eastAsia="仿宋_GB2312" w:hint="eastAsia"/>
          <w:b/>
          <w:sz w:val="28"/>
          <w:szCs w:val="28"/>
        </w:rPr>
        <w:t>六、其他事项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1.</w:t>
      </w:r>
      <w:r w:rsidRPr="008F3CF9">
        <w:rPr>
          <w:rFonts w:ascii="仿宋_GB2312" w:eastAsia="仿宋_GB2312" w:hint="eastAsia"/>
          <w:sz w:val="28"/>
          <w:szCs w:val="28"/>
        </w:rPr>
        <w:t>项目负责人组织项目团队</w:t>
      </w:r>
      <w:r>
        <w:rPr>
          <w:rFonts w:ascii="仿宋_GB2312" w:eastAsia="仿宋_GB2312" w:hint="eastAsia"/>
          <w:sz w:val="28"/>
          <w:szCs w:val="28"/>
        </w:rPr>
        <w:t>参照上交省教育厅的项目申报书，结合学科专业建设发展实际，修订</w:t>
      </w:r>
      <w:r w:rsidRPr="008F3CF9">
        <w:rPr>
          <w:rFonts w:ascii="仿宋_GB2312" w:eastAsia="仿宋_GB2312" w:hint="eastAsia"/>
          <w:sz w:val="28"/>
          <w:szCs w:val="28"/>
        </w:rPr>
        <w:t>完善</w:t>
      </w:r>
      <w:r>
        <w:rPr>
          <w:rFonts w:ascii="仿宋_GB2312" w:eastAsia="仿宋_GB2312" w:hint="eastAsia"/>
          <w:sz w:val="28"/>
          <w:szCs w:val="28"/>
        </w:rPr>
        <w:t>项目建设实施方案，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1"/>
          <w:attr w:name="Year" w:val="2015"/>
        </w:smartTagPr>
        <w:r>
          <w:rPr>
            <w:rFonts w:ascii="仿宋_GB2312" w:eastAsia="仿宋_GB2312"/>
            <w:sz w:val="28"/>
            <w:szCs w:val="28"/>
          </w:rPr>
          <w:t>11</w:t>
        </w:r>
        <w:r w:rsidRPr="008F3CF9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6</w:t>
        </w:r>
        <w:r w:rsidRPr="008F3CF9">
          <w:rPr>
            <w:rFonts w:ascii="仿宋_GB2312" w:eastAsia="仿宋_GB2312" w:hint="eastAsia"/>
            <w:sz w:val="28"/>
            <w:szCs w:val="28"/>
          </w:rPr>
          <w:t>日</w:t>
        </w:r>
      </w:smartTag>
      <w:r w:rsidRPr="008F3CF9">
        <w:rPr>
          <w:rFonts w:ascii="仿宋_GB2312" w:eastAsia="仿宋_GB2312" w:hint="eastAsia"/>
          <w:sz w:val="28"/>
          <w:szCs w:val="28"/>
        </w:rPr>
        <w:t>前将</w:t>
      </w:r>
      <w:r>
        <w:rPr>
          <w:rFonts w:ascii="仿宋_GB2312" w:eastAsia="仿宋_GB2312" w:hint="eastAsia"/>
          <w:sz w:val="28"/>
          <w:szCs w:val="28"/>
        </w:rPr>
        <w:t>建设实施方案</w:t>
      </w:r>
      <w:r w:rsidRPr="008F3CF9">
        <w:rPr>
          <w:rFonts w:ascii="仿宋_GB2312" w:eastAsia="仿宋_GB2312" w:hint="eastAsia"/>
          <w:sz w:val="28"/>
          <w:szCs w:val="28"/>
        </w:rPr>
        <w:t>材料（纸质材料一式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份双面打印左边装订）报至教务处教研科</w:t>
      </w:r>
      <w:r>
        <w:rPr>
          <w:rFonts w:ascii="仿宋_GB2312" w:eastAsia="仿宋_GB2312"/>
          <w:sz w:val="28"/>
          <w:szCs w:val="28"/>
        </w:rPr>
        <w:t>214</w:t>
      </w:r>
      <w:r>
        <w:rPr>
          <w:rFonts w:ascii="仿宋_GB2312" w:eastAsia="仿宋_GB2312" w:hint="eastAsia"/>
          <w:sz w:val="28"/>
          <w:szCs w:val="28"/>
        </w:rPr>
        <w:t>办公室，电话：</w:t>
      </w:r>
      <w:r>
        <w:rPr>
          <w:rFonts w:ascii="仿宋_GB2312" w:eastAsia="仿宋_GB2312"/>
          <w:sz w:val="28"/>
          <w:szCs w:val="28"/>
        </w:rPr>
        <w:t>88426183</w:t>
      </w:r>
      <w:r w:rsidRPr="008F3CF9">
        <w:rPr>
          <w:rFonts w:ascii="仿宋_GB2312" w:eastAsia="仿宋_GB2312" w:hint="eastAsia"/>
          <w:sz w:val="28"/>
          <w:szCs w:val="28"/>
        </w:rPr>
        <w:t>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2.</w:t>
      </w:r>
      <w:r w:rsidRPr="008F3CF9">
        <w:rPr>
          <w:rFonts w:ascii="仿宋_GB2312" w:eastAsia="仿宋_GB2312" w:hint="eastAsia"/>
          <w:sz w:val="28"/>
          <w:szCs w:val="28"/>
        </w:rPr>
        <w:t>各项目团队做好论证准备，各个答辩项目均需准备</w:t>
      </w:r>
      <w:r w:rsidRPr="008F3CF9">
        <w:rPr>
          <w:rFonts w:ascii="仿宋_GB2312" w:eastAsia="仿宋_GB2312"/>
          <w:sz w:val="28"/>
          <w:szCs w:val="28"/>
        </w:rPr>
        <w:t>PPT</w:t>
      </w:r>
      <w:r w:rsidRPr="008F3CF9">
        <w:rPr>
          <w:rFonts w:ascii="仿宋_GB2312" w:eastAsia="仿宋_GB2312" w:hint="eastAsia"/>
          <w:sz w:val="28"/>
          <w:szCs w:val="28"/>
        </w:rPr>
        <w:t>进行汇报</w:t>
      </w:r>
      <w:r>
        <w:rPr>
          <w:rFonts w:ascii="仿宋_GB2312" w:eastAsia="仿宋_GB2312" w:hint="eastAsia"/>
          <w:sz w:val="28"/>
          <w:szCs w:val="28"/>
        </w:rPr>
        <w:t>，</w:t>
      </w:r>
      <w:r w:rsidRPr="008F3CF9">
        <w:rPr>
          <w:rFonts w:ascii="仿宋_GB2312" w:eastAsia="仿宋_GB2312" w:hint="eastAsia"/>
          <w:sz w:val="28"/>
          <w:szCs w:val="28"/>
        </w:rPr>
        <w:t>答辩</w:t>
      </w:r>
      <w:r>
        <w:rPr>
          <w:rFonts w:ascii="仿宋_GB2312" w:eastAsia="仿宋_GB2312" w:hint="eastAsia"/>
          <w:sz w:val="28"/>
          <w:szCs w:val="28"/>
        </w:rPr>
        <w:t>通过</w:t>
      </w:r>
      <w:r w:rsidRPr="008F3CF9">
        <w:rPr>
          <w:rFonts w:ascii="仿宋_GB2312" w:eastAsia="仿宋_GB2312" w:hint="eastAsia"/>
          <w:sz w:val="28"/>
          <w:szCs w:val="28"/>
        </w:rPr>
        <w:t>后</w:t>
      </w:r>
      <w:r>
        <w:rPr>
          <w:rFonts w:ascii="仿宋_GB2312" w:eastAsia="仿宋_GB2312" w:hint="eastAsia"/>
          <w:sz w:val="28"/>
          <w:szCs w:val="28"/>
        </w:rPr>
        <w:t>应</w:t>
      </w:r>
      <w:r w:rsidRPr="008F3CF9">
        <w:rPr>
          <w:rFonts w:ascii="仿宋_GB2312" w:eastAsia="仿宋_GB2312" w:hint="eastAsia"/>
          <w:sz w:val="28"/>
          <w:szCs w:val="28"/>
        </w:rPr>
        <w:t>根据专家意见修改完善</w:t>
      </w:r>
      <w:r>
        <w:rPr>
          <w:rFonts w:ascii="仿宋_GB2312" w:eastAsia="仿宋_GB2312" w:hint="eastAsia"/>
          <w:sz w:val="28"/>
          <w:szCs w:val="28"/>
        </w:rPr>
        <w:t>建设方案，并与学校签订建设工作任务书</w:t>
      </w:r>
      <w:r w:rsidRPr="008F3CF9">
        <w:rPr>
          <w:rFonts w:ascii="仿宋_GB2312" w:eastAsia="仿宋_GB2312" w:hint="eastAsia"/>
          <w:sz w:val="28"/>
          <w:szCs w:val="28"/>
        </w:rPr>
        <w:t>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3.</w:t>
      </w:r>
      <w:r w:rsidRPr="008F3CF9">
        <w:rPr>
          <w:rFonts w:ascii="仿宋_GB2312" w:eastAsia="仿宋_GB2312" w:hint="eastAsia"/>
          <w:sz w:val="28"/>
          <w:szCs w:val="28"/>
        </w:rPr>
        <w:t>现场答辩时，原则上应由项目负责人汇报；项目负责人因特殊原因无法出席的，应指定代表人汇报。除项目负责人（或其指定代表人）以外，全体项目组成员均需参加答辩。</w:t>
      </w:r>
    </w:p>
    <w:p w:rsidR="00B96675" w:rsidRPr="008F3CF9" w:rsidRDefault="00B96675" w:rsidP="00BA1999">
      <w:pPr>
        <w:spacing w:line="500" w:lineRule="exact"/>
        <w:ind w:firstLineChars="215" w:firstLine="31680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/>
          <w:sz w:val="28"/>
          <w:szCs w:val="28"/>
        </w:rPr>
        <w:t>4.</w:t>
      </w:r>
      <w:r w:rsidRPr="008F3CF9">
        <w:rPr>
          <w:rFonts w:ascii="仿宋_GB2312" w:eastAsia="仿宋_GB2312" w:hint="eastAsia"/>
          <w:sz w:val="28"/>
          <w:szCs w:val="28"/>
        </w:rPr>
        <w:t>其他未尽事宜，另行通知。</w:t>
      </w:r>
    </w:p>
    <w:p w:rsidR="00B96675" w:rsidRPr="008F3CF9" w:rsidRDefault="00B96675" w:rsidP="00BA1999">
      <w:pPr>
        <w:spacing w:line="500" w:lineRule="exact"/>
        <w:ind w:firstLineChars="215" w:firstLine="31680"/>
        <w:jc w:val="right"/>
        <w:rPr>
          <w:rFonts w:ascii="仿宋_GB2312" w:eastAsia="仿宋_GB2312"/>
          <w:sz w:val="28"/>
          <w:szCs w:val="28"/>
        </w:rPr>
      </w:pPr>
      <w:r w:rsidRPr="008F3CF9">
        <w:rPr>
          <w:rFonts w:ascii="仿宋_GB2312" w:eastAsia="仿宋_GB2312" w:hint="eastAsia"/>
          <w:sz w:val="28"/>
          <w:szCs w:val="28"/>
        </w:rPr>
        <w:t>武昌首义学院</w:t>
      </w:r>
    </w:p>
    <w:p w:rsidR="00B96675" w:rsidRPr="008F3CF9" w:rsidRDefault="00B96675" w:rsidP="00F33CCA">
      <w:pPr>
        <w:spacing w:line="500" w:lineRule="exact"/>
        <w:ind w:firstLineChars="215" w:firstLine="31680"/>
        <w:jc w:val="right"/>
        <w:rPr>
          <w:rFonts w:ascii="仿宋_GB2312" w:eastAsia="仿宋_GB2312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9"/>
          <w:attr w:name="Year" w:val="2015"/>
        </w:smartTagPr>
        <w:r w:rsidRPr="008F3CF9">
          <w:rPr>
            <w:rFonts w:ascii="仿宋_GB2312" w:eastAsia="仿宋_GB2312"/>
            <w:sz w:val="28"/>
            <w:szCs w:val="28"/>
          </w:rPr>
          <w:t>2015</w:t>
        </w:r>
        <w:r w:rsidRPr="008F3CF9">
          <w:rPr>
            <w:rFonts w:ascii="仿宋_GB2312" w:eastAsia="仿宋_GB2312" w:hint="eastAsia"/>
            <w:sz w:val="28"/>
            <w:szCs w:val="28"/>
          </w:rPr>
          <w:t>年</w:t>
        </w:r>
        <w:r w:rsidRPr="008F3CF9">
          <w:rPr>
            <w:rFonts w:ascii="仿宋_GB2312" w:eastAsia="仿宋_GB2312"/>
            <w:sz w:val="28"/>
            <w:szCs w:val="28"/>
          </w:rPr>
          <w:t>9</w:t>
        </w:r>
        <w:r w:rsidRPr="008F3CF9">
          <w:rPr>
            <w:rFonts w:ascii="仿宋_GB2312" w:eastAsia="仿宋_GB2312" w:hint="eastAsia"/>
            <w:sz w:val="28"/>
            <w:szCs w:val="28"/>
          </w:rPr>
          <w:t>月</w:t>
        </w:r>
        <w:r w:rsidRPr="008F3CF9">
          <w:rPr>
            <w:rFonts w:ascii="仿宋_GB2312" w:eastAsia="仿宋_GB2312"/>
            <w:sz w:val="28"/>
            <w:szCs w:val="28"/>
          </w:rPr>
          <w:t>21</w:t>
        </w:r>
        <w:r w:rsidRPr="008F3CF9">
          <w:rPr>
            <w:rFonts w:ascii="仿宋_GB2312" w:eastAsia="仿宋_GB2312" w:hint="eastAsia"/>
            <w:sz w:val="28"/>
            <w:szCs w:val="28"/>
          </w:rPr>
          <w:t>日</w:t>
        </w:r>
      </w:smartTag>
    </w:p>
    <w:sectPr w:rsidR="00B96675" w:rsidRPr="008F3CF9" w:rsidSect="006A3C1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75" w:rsidRDefault="00B96675" w:rsidP="00B26141">
      <w:r>
        <w:separator/>
      </w:r>
    </w:p>
  </w:endnote>
  <w:endnote w:type="continuationSeparator" w:id="0">
    <w:p w:rsidR="00B96675" w:rsidRDefault="00B96675" w:rsidP="00B2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75" w:rsidRDefault="00B96675" w:rsidP="00B26141">
      <w:r>
        <w:separator/>
      </w:r>
    </w:p>
  </w:footnote>
  <w:footnote w:type="continuationSeparator" w:id="0">
    <w:p w:rsidR="00B96675" w:rsidRDefault="00B96675" w:rsidP="00B26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41"/>
    <w:rsid w:val="000A2FDD"/>
    <w:rsid w:val="000A384E"/>
    <w:rsid w:val="000E11FF"/>
    <w:rsid w:val="002D2C20"/>
    <w:rsid w:val="00443C22"/>
    <w:rsid w:val="004E0A94"/>
    <w:rsid w:val="00500B85"/>
    <w:rsid w:val="006A3C1A"/>
    <w:rsid w:val="00741BE8"/>
    <w:rsid w:val="007C012B"/>
    <w:rsid w:val="008001C4"/>
    <w:rsid w:val="008F3CF9"/>
    <w:rsid w:val="00AF335D"/>
    <w:rsid w:val="00B26141"/>
    <w:rsid w:val="00B304BD"/>
    <w:rsid w:val="00B96675"/>
    <w:rsid w:val="00BA1999"/>
    <w:rsid w:val="00BD34F1"/>
    <w:rsid w:val="00D07746"/>
    <w:rsid w:val="00D60714"/>
    <w:rsid w:val="00D76F66"/>
    <w:rsid w:val="00E117FC"/>
    <w:rsid w:val="00E236B0"/>
    <w:rsid w:val="00F07270"/>
    <w:rsid w:val="00F33CCA"/>
    <w:rsid w:val="00F455D3"/>
    <w:rsid w:val="00F7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F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614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614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236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B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5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1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157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1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5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158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1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5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15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416</TotalTime>
  <Pages>2</Pages>
  <Words>166</Words>
  <Characters>951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2015-09-22T03:41:00Z</cp:lastPrinted>
  <dcterms:created xsi:type="dcterms:W3CDTF">2015-09-17T07:05:00Z</dcterms:created>
  <dcterms:modified xsi:type="dcterms:W3CDTF">2015-09-22T05:53:00Z</dcterms:modified>
</cp:coreProperties>
</file>