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498" w:rsidRPr="004033B6" w:rsidRDefault="00F82498" w:rsidP="00F82498">
      <w:pPr>
        <w:rPr>
          <w:rFonts w:ascii="宋体" w:cs="宋体" w:hint="eastAsia"/>
          <w:bCs/>
          <w:sz w:val="24"/>
        </w:rPr>
      </w:pPr>
      <w:r w:rsidRPr="004033B6">
        <w:rPr>
          <w:rFonts w:ascii="宋体" w:cs="宋体" w:hint="eastAsia"/>
          <w:bCs/>
          <w:sz w:val="24"/>
        </w:rPr>
        <w:t>附件：</w:t>
      </w:r>
    </w:p>
    <w:p w:rsidR="00F82498" w:rsidRPr="00726983" w:rsidRDefault="00F82498" w:rsidP="00F82498">
      <w:pPr>
        <w:ind w:left="91" w:firstLineChars="50" w:firstLine="161"/>
        <w:jc w:val="center"/>
        <w:rPr>
          <w:rFonts w:ascii="宋体"/>
          <w:b/>
          <w:bCs/>
          <w:sz w:val="32"/>
          <w:szCs w:val="32"/>
        </w:rPr>
      </w:pPr>
      <w:r w:rsidRPr="00726983">
        <w:rPr>
          <w:rFonts w:ascii="宋体" w:cs="宋体" w:hint="eastAsia"/>
          <w:b/>
          <w:bCs/>
          <w:sz w:val="32"/>
          <w:szCs w:val="32"/>
        </w:rPr>
        <w:t>省物价局省教育厅关于高校收费实行</w:t>
      </w:r>
    </w:p>
    <w:p w:rsidR="00F82498" w:rsidRPr="00726983" w:rsidRDefault="00F82498" w:rsidP="00F82498">
      <w:pPr>
        <w:ind w:firstLineChars="249" w:firstLine="800"/>
        <w:jc w:val="center"/>
        <w:rPr>
          <w:rFonts w:ascii="宋体"/>
          <w:b/>
          <w:bCs/>
          <w:sz w:val="32"/>
          <w:szCs w:val="32"/>
        </w:rPr>
      </w:pPr>
      <w:r w:rsidRPr="00726983">
        <w:rPr>
          <w:rFonts w:ascii="宋体" w:cs="宋体" w:hint="eastAsia"/>
          <w:b/>
          <w:bCs/>
          <w:sz w:val="32"/>
          <w:szCs w:val="32"/>
        </w:rPr>
        <w:t>目录清单管理制度的通知</w:t>
      </w:r>
    </w:p>
    <w:p w:rsidR="00F82498" w:rsidRPr="008B3D75" w:rsidRDefault="00F82498" w:rsidP="00F82498">
      <w:pPr>
        <w:rPr>
          <w:rFonts w:ascii="楷体_GB2312" w:eastAsia="楷体_GB2312" w:hint="eastAsia"/>
          <w:sz w:val="28"/>
          <w:szCs w:val="28"/>
        </w:rPr>
      </w:pPr>
      <w:r w:rsidRPr="008B3D75">
        <w:rPr>
          <w:rFonts w:ascii="楷体_GB2312" w:eastAsia="楷体_GB2312" w:cs="仿宋" w:hint="eastAsia"/>
          <w:sz w:val="28"/>
          <w:szCs w:val="28"/>
        </w:rPr>
        <w:t>各高等学校，各市、州、省直管市及神农架林区物价局、教育局：</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为进一步加强高校收费管理，规范收费行为，方便社会监督，根据《湖北省价格条例》有关规定，省物价局、省教育厅决定在我省高校全面实行收费目录清单管理制度，现就有关事项通知如下：</w:t>
      </w:r>
    </w:p>
    <w:p w:rsidR="00F82498" w:rsidRPr="008B3D75" w:rsidRDefault="00F82498" w:rsidP="00F82498">
      <w:pPr>
        <w:pStyle w:val="1"/>
        <w:numPr>
          <w:ilvl w:val="0"/>
          <w:numId w:val="1"/>
        </w:numPr>
        <w:ind w:firstLineChars="0"/>
        <w:rPr>
          <w:rFonts w:ascii="楷体_GB2312" w:eastAsia="楷体_GB2312" w:cs="Times New Roman" w:hint="eastAsia"/>
          <w:sz w:val="28"/>
          <w:szCs w:val="28"/>
        </w:rPr>
      </w:pPr>
      <w:r w:rsidRPr="008B3D75">
        <w:rPr>
          <w:rFonts w:ascii="楷体_GB2312" w:eastAsia="楷体_GB2312" w:cs="仿宋" w:hint="eastAsia"/>
          <w:sz w:val="28"/>
          <w:szCs w:val="28"/>
        </w:rPr>
        <w:t>高校收费目录清单管理的对象和范围</w:t>
      </w:r>
    </w:p>
    <w:p w:rsidR="00F82498" w:rsidRPr="008B3D75" w:rsidRDefault="00F82498" w:rsidP="00F82498">
      <w:pPr>
        <w:pStyle w:val="1"/>
        <w:ind w:firstLine="560"/>
        <w:rPr>
          <w:rFonts w:ascii="楷体_GB2312" w:eastAsia="楷体_GB2312" w:cs="Times New Roman" w:hint="eastAsia"/>
          <w:sz w:val="28"/>
          <w:szCs w:val="28"/>
        </w:rPr>
      </w:pPr>
      <w:r w:rsidRPr="008B3D75">
        <w:rPr>
          <w:rFonts w:ascii="楷体_GB2312" w:eastAsia="楷体_GB2312" w:cs="仿宋" w:hint="eastAsia"/>
          <w:sz w:val="28"/>
          <w:szCs w:val="28"/>
        </w:rPr>
        <w:t>湖北省境内全日制普通高校（包括民办高校）、成人高校对在校学生收取的所有费用均纳入收费目录清单管理范围。</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二、高校收费目录清单管理的内容和方式</w:t>
      </w:r>
    </w:p>
    <w:p w:rsidR="00F82498" w:rsidRPr="008B3D75" w:rsidRDefault="00F82498" w:rsidP="00F82498">
      <w:pPr>
        <w:numPr>
          <w:ilvl w:val="0"/>
          <w:numId w:val="2"/>
        </w:numPr>
        <w:rPr>
          <w:rFonts w:ascii="楷体_GB2312" w:eastAsia="楷体_GB2312" w:hint="eastAsia"/>
          <w:sz w:val="28"/>
          <w:szCs w:val="28"/>
        </w:rPr>
      </w:pPr>
      <w:r w:rsidRPr="008B3D75">
        <w:rPr>
          <w:rFonts w:ascii="楷体_GB2312" w:eastAsia="楷体_GB2312" w:cs="仿宋" w:hint="eastAsia"/>
          <w:sz w:val="28"/>
          <w:szCs w:val="28"/>
        </w:rPr>
        <w:t>清单管理的内容:</w:t>
      </w:r>
    </w:p>
    <w:p w:rsidR="00F82498" w:rsidRPr="008B3D75" w:rsidRDefault="00F82498" w:rsidP="00F82498">
      <w:pPr>
        <w:ind w:left="30" w:firstLineChars="200" w:firstLine="560"/>
        <w:rPr>
          <w:rFonts w:ascii="楷体_GB2312" w:eastAsia="楷体_GB2312" w:hint="eastAsia"/>
          <w:sz w:val="28"/>
          <w:szCs w:val="28"/>
        </w:rPr>
      </w:pPr>
      <w:r w:rsidRPr="008B3D75">
        <w:rPr>
          <w:rFonts w:ascii="楷体_GB2312" w:eastAsia="楷体_GB2312" w:cs="仿宋" w:hint="eastAsia"/>
          <w:sz w:val="28"/>
          <w:szCs w:val="28"/>
        </w:rPr>
        <w:t>1、学费、住宿费、考试费</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高校编制学费、住宿费和考试费标准目录清单，要严格对照现行收费政策规定，核定执行相对应的收费标准。其中，高校对本科重点专业学科的确定，要体现国家创新创业人才培养机制改革要求，对新增设的优势学科、创新创业人才培养方面的特色专业，高校应优先列入当年重点专业招生范围，但在学费政策上不得突破两个30%的比例规定。</w:t>
      </w:r>
    </w:p>
    <w:p w:rsidR="00F82498" w:rsidRPr="008B3D75" w:rsidRDefault="00F82498" w:rsidP="00F82498">
      <w:pPr>
        <w:rPr>
          <w:rFonts w:ascii="楷体_GB2312" w:eastAsia="楷体_GB2312" w:hint="eastAsia"/>
          <w:sz w:val="28"/>
          <w:szCs w:val="28"/>
        </w:rPr>
      </w:pPr>
      <w:r w:rsidRPr="008B3D75">
        <w:rPr>
          <w:rFonts w:ascii="楷体_GB2312" w:eastAsia="楷体_GB2312" w:cs="华文仿宋" w:hint="eastAsia"/>
          <w:sz w:val="28"/>
          <w:szCs w:val="28"/>
        </w:rPr>
        <w:t xml:space="preserve">    2、代收费</w:t>
      </w:r>
    </w:p>
    <w:p w:rsidR="00F82498" w:rsidRPr="008B3D75" w:rsidRDefault="00F82498" w:rsidP="00F82498">
      <w:pPr>
        <w:ind w:firstLine="629"/>
        <w:rPr>
          <w:rFonts w:ascii="楷体_GB2312" w:eastAsia="楷体_GB2312" w:hint="eastAsia"/>
          <w:sz w:val="28"/>
          <w:szCs w:val="28"/>
        </w:rPr>
      </w:pPr>
      <w:r w:rsidRPr="008B3D75">
        <w:rPr>
          <w:rFonts w:ascii="楷体_GB2312" w:eastAsia="楷体_GB2312" w:cs="华文仿宋" w:hint="eastAsia"/>
          <w:sz w:val="28"/>
          <w:szCs w:val="28"/>
        </w:rPr>
        <w:t>高校代收费项目主要包括：教材费、学习生活用品费、军训服装费、大学生居民医疗保险费、新生入学体检费、非计划免疫预防接</w:t>
      </w:r>
      <w:r w:rsidRPr="008B3D75">
        <w:rPr>
          <w:rFonts w:ascii="楷体_GB2312" w:eastAsia="楷体_GB2312" w:cs="华文仿宋" w:hint="eastAsia"/>
          <w:sz w:val="28"/>
          <w:szCs w:val="28"/>
        </w:rPr>
        <w:lastRenderedPageBreak/>
        <w:t>种费、新办和补办第二代身份证等代收费项目。</w:t>
      </w:r>
    </w:p>
    <w:p w:rsidR="00F82498" w:rsidRPr="008B3D75" w:rsidRDefault="00F82498" w:rsidP="00F82498">
      <w:pPr>
        <w:rPr>
          <w:rFonts w:ascii="楷体_GB2312" w:eastAsia="楷体_GB2312" w:hint="eastAsia"/>
          <w:sz w:val="28"/>
          <w:szCs w:val="28"/>
        </w:rPr>
      </w:pPr>
      <w:r w:rsidRPr="008B3D75">
        <w:rPr>
          <w:rFonts w:ascii="楷体_GB2312" w:eastAsia="楷体_GB2312" w:cs="华文仿宋" w:hint="eastAsia"/>
          <w:sz w:val="28"/>
          <w:szCs w:val="28"/>
        </w:rPr>
        <w:t xml:space="preserve">    3、服务性收费</w:t>
      </w:r>
    </w:p>
    <w:p w:rsidR="00F82498" w:rsidRPr="008B3D75" w:rsidRDefault="00F82498" w:rsidP="00F82498">
      <w:pPr>
        <w:ind w:firstLine="629"/>
        <w:rPr>
          <w:rFonts w:ascii="楷体_GB2312" w:eastAsia="楷体_GB2312" w:hint="eastAsia"/>
          <w:sz w:val="28"/>
          <w:szCs w:val="28"/>
        </w:rPr>
      </w:pPr>
      <w:r w:rsidRPr="008B3D75">
        <w:rPr>
          <w:rFonts w:ascii="楷体_GB2312" w:eastAsia="楷体_GB2312" w:cs="华文仿宋" w:hint="eastAsia"/>
          <w:sz w:val="28"/>
          <w:szCs w:val="28"/>
        </w:rPr>
        <w:t>高校服务性收费项目设立的范围，必须是为方便在校学生基本学习和生活，提供由学生自愿选择的正常教学活动以外的服务，不得将国家和省明令禁止收取的项目列为服务性收费项目。</w:t>
      </w:r>
    </w:p>
    <w:p w:rsidR="00F82498" w:rsidRPr="008B3D75" w:rsidRDefault="00F82498" w:rsidP="00F82498">
      <w:pPr>
        <w:ind w:firstLine="629"/>
        <w:rPr>
          <w:rFonts w:ascii="楷体_GB2312" w:eastAsia="楷体_GB2312" w:hint="eastAsia"/>
          <w:sz w:val="28"/>
          <w:szCs w:val="28"/>
        </w:rPr>
      </w:pPr>
      <w:r w:rsidRPr="008B3D75">
        <w:rPr>
          <w:rFonts w:ascii="楷体_GB2312" w:eastAsia="楷体_GB2312" w:cs="华文仿宋" w:hint="eastAsia"/>
          <w:sz w:val="28"/>
          <w:szCs w:val="28"/>
        </w:rPr>
        <w:t>对校外人员和有关单位提供的服务，不得占用正常教学资源，学校可根据自愿原则按市场运作方式制定收费标准，不列入清单范围。</w:t>
      </w:r>
    </w:p>
    <w:p w:rsidR="00F82498" w:rsidRPr="008B3D75" w:rsidRDefault="00F82498" w:rsidP="00F82498">
      <w:pPr>
        <w:ind w:firstLineChars="150" w:firstLine="420"/>
        <w:rPr>
          <w:rFonts w:ascii="楷体_GB2312" w:eastAsia="楷体_GB2312" w:hint="eastAsia"/>
          <w:sz w:val="28"/>
          <w:szCs w:val="28"/>
        </w:rPr>
      </w:pPr>
      <w:r w:rsidRPr="008B3D75">
        <w:rPr>
          <w:rFonts w:ascii="楷体_GB2312" w:eastAsia="楷体_GB2312" w:cs="华文仿宋" w:hint="eastAsia"/>
          <w:sz w:val="28"/>
          <w:szCs w:val="28"/>
        </w:rPr>
        <w:t>（二）清单管理的方式</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高校收费实行目录清单管理制度以后，由各高校对照国家和省现行收费政策规定，按收费性质编制本校年度收费目录清单，清单须注明收费项目、收费标准、收费依据、执行时间等内容（见附件），通过校园网设立专栏提前向社会公示、常年公示，提前公示时间不得少于30天，并在收费服务场所设立公示栏等进行公示。</w:t>
      </w:r>
      <w:r w:rsidRPr="008B3D75">
        <w:rPr>
          <w:rFonts w:ascii="楷体_GB2312" w:eastAsia="楷体_GB2312" w:hint="eastAsia"/>
          <w:sz w:val="28"/>
          <w:szCs w:val="28"/>
        </w:rPr>
        <w:t>目录清单要根据政策变化情况，每年更新一次。高校每年要将编制的收费目录清单，于</w:t>
      </w:r>
      <w:smartTag w:uri="urn:schemas-microsoft-com:office:smarttags" w:element="chsdate">
        <w:smartTagPr>
          <w:attr w:name="IsROCDate" w:val="False"/>
          <w:attr w:name="IsLunarDate" w:val="False"/>
          <w:attr w:name="Day" w:val="30"/>
          <w:attr w:name="Month" w:val="6"/>
          <w:attr w:name="Year" w:val="2016"/>
        </w:smartTagPr>
        <w:r w:rsidRPr="008B3D75">
          <w:rPr>
            <w:rFonts w:ascii="楷体_GB2312" w:eastAsia="楷体_GB2312" w:hint="eastAsia"/>
            <w:sz w:val="28"/>
            <w:szCs w:val="28"/>
          </w:rPr>
          <w:t>6月30日前</w:t>
        </w:r>
      </w:smartTag>
      <w:r w:rsidRPr="008B3D75">
        <w:rPr>
          <w:rFonts w:ascii="楷体_GB2312" w:eastAsia="楷体_GB2312" w:hint="eastAsia"/>
          <w:sz w:val="28"/>
          <w:szCs w:val="28"/>
        </w:rPr>
        <w:t>抄送省物价局、省教育厅。</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三、有关要求</w:t>
      </w:r>
    </w:p>
    <w:p w:rsidR="00F82498" w:rsidRPr="008B3D75" w:rsidRDefault="00F82498" w:rsidP="00F82498">
      <w:pPr>
        <w:ind w:firstLineChars="150" w:firstLine="420"/>
        <w:rPr>
          <w:rFonts w:ascii="楷体_GB2312" w:eastAsia="楷体_GB2312" w:hint="eastAsia"/>
          <w:sz w:val="28"/>
          <w:szCs w:val="28"/>
        </w:rPr>
      </w:pPr>
      <w:r w:rsidRPr="008B3D75">
        <w:rPr>
          <w:rFonts w:ascii="楷体_GB2312" w:eastAsia="楷体_GB2312" w:cs="仿宋" w:hint="eastAsia"/>
          <w:sz w:val="28"/>
          <w:szCs w:val="28"/>
        </w:rPr>
        <w:t>（一）高度重视，切实把制度落到实处。高校要把编制收费目录清单作为进一步规范收费行为的一项重点工作来抓，严格按照规定程序和时间完成清单编制工作，确保制度落实到位。</w:t>
      </w:r>
    </w:p>
    <w:p w:rsidR="00F82498" w:rsidRPr="008B3D75" w:rsidRDefault="00F82498" w:rsidP="00F82498">
      <w:pPr>
        <w:ind w:firstLineChars="150" w:firstLine="420"/>
        <w:rPr>
          <w:rFonts w:ascii="楷体_GB2312" w:eastAsia="楷体_GB2312" w:hint="eastAsia"/>
          <w:sz w:val="28"/>
          <w:szCs w:val="28"/>
        </w:rPr>
      </w:pPr>
      <w:r w:rsidRPr="008B3D75">
        <w:rPr>
          <w:rFonts w:ascii="楷体_GB2312" w:eastAsia="楷体_GB2312" w:cs="仿宋" w:hint="eastAsia"/>
          <w:sz w:val="28"/>
          <w:szCs w:val="28"/>
        </w:rPr>
        <w:t>（二）各高校编制的清单内容要规范完整。</w:t>
      </w:r>
      <w:r w:rsidRPr="008B3D75">
        <w:rPr>
          <w:rFonts w:ascii="楷体_GB2312" w:eastAsia="楷体_GB2312" w:hint="eastAsia"/>
          <w:sz w:val="28"/>
          <w:szCs w:val="28"/>
        </w:rPr>
        <w:t>纳入清单范围的项目，收费依据必须充分、明确，未列入清单或未落实提前公示要求的收费，</w:t>
      </w:r>
      <w:r w:rsidRPr="008B3D75">
        <w:rPr>
          <w:rFonts w:ascii="楷体_GB2312" w:eastAsia="楷体_GB2312" w:cs="仿宋" w:hint="eastAsia"/>
          <w:sz w:val="28"/>
          <w:szCs w:val="28"/>
        </w:rPr>
        <w:t>学生有权予以拒付。各高校在实行收费清单管理制度中遇到的情况和</w:t>
      </w:r>
      <w:r w:rsidRPr="008B3D75">
        <w:rPr>
          <w:rFonts w:ascii="楷体_GB2312" w:eastAsia="楷体_GB2312" w:cs="仿宋" w:hint="eastAsia"/>
          <w:sz w:val="28"/>
          <w:szCs w:val="28"/>
        </w:rPr>
        <w:lastRenderedPageBreak/>
        <w:t>问题要及时向省物价局、省教育厅反映。</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三）加强对高校收费目录清单制度的监督。各级价格、教育部门要通过互联网对各高校收费目录清单情况进行核查，发现收费公示中不规范行为要及时进行约谈和告诫，并责令限期改正，对违规收费行为要依法进行查处。</w:t>
      </w:r>
    </w:p>
    <w:p w:rsidR="00F82498" w:rsidRPr="008B3D75" w:rsidRDefault="00F82498" w:rsidP="00F82498">
      <w:pPr>
        <w:ind w:firstLineChars="200" w:firstLine="560"/>
        <w:rPr>
          <w:rFonts w:ascii="楷体_GB2312" w:eastAsia="楷体_GB2312" w:hint="eastAsia"/>
          <w:sz w:val="28"/>
          <w:szCs w:val="28"/>
        </w:rPr>
      </w:pPr>
      <w:r w:rsidRPr="008B3D75">
        <w:rPr>
          <w:rFonts w:ascii="楷体_GB2312" w:eastAsia="楷体_GB2312" w:cs="仿宋" w:hint="eastAsia"/>
          <w:sz w:val="28"/>
          <w:szCs w:val="28"/>
        </w:rPr>
        <w:t>本通知从2016年秋季开学起实行。</w:t>
      </w:r>
    </w:p>
    <w:p w:rsidR="00F82498" w:rsidRPr="008B3D75" w:rsidRDefault="00F82498" w:rsidP="00F82498">
      <w:pPr>
        <w:ind w:firstLineChars="200" w:firstLine="560"/>
        <w:rPr>
          <w:rFonts w:ascii="楷体_GB2312" w:eastAsia="楷体_GB2312" w:cs="仿宋" w:hint="eastAsia"/>
          <w:sz w:val="28"/>
          <w:szCs w:val="28"/>
        </w:rPr>
      </w:pPr>
    </w:p>
    <w:p w:rsidR="00F82498" w:rsidRPr="008B3D75" w:rsidRDefault="00F82498" w:rsidP="00F82498">
      <w:pPr>
        <w:ind w:firstLineChars="1200" w:firstLine="3360"/>
        <w:jc w:val="right"/>
        <w:rPr>
          <w:rFonts w:ascii="楷体_GB2312" w:eastAsia="楷体_GB2312" w:cs="仿宋" w:hint="eastAsia"/>
          <w:sz w:val="28"/>
          <w:szCs w:val="28"/>
        </w:rPr>
      </w:pPr>
      <w:r w:rsidRPr="008B3D75">
        <w:rPr>
          <w:rFonts w:ascii="楷体_GB2312" w:eastAsia="楷体_GB2312" w:cs="仿宋" w:hint="eastAsia"/>
          <w:sz w:val="28"/>
          <w:szCs w:val="28"/>
        </w:rPr>
        <w:t xml:space="preserve">        </w:t>
      </w:r>
      <w:smartTag w:uri="urn:schemas-microsoft-com:office:smarttags" w:element="chsdate">
        <w:smartTagPr>
          <w:attr w:name="IsROCDate" w:val="False"/>
          <w:attr w:name="IsLunarDate" w:val="False"/>
          <w:attr w:name="Day" w:val="30"/>
          <w:attr w:name="Month" w:val="5"/>
          <w:attr w:name="Year" w:val="2016"/>
        </w:smartTagPr>
        <w:r w:rsidRPr="008B3D75">
          <w:rPr>
            <w:rFonts w:ascii="楷体_GB2312" w:eastAsia="楷体_GB2312" w:cs="仿宋" w:hint="eastAsia"/>
            <w:sz w:val="28"/>
            <w:szCs w:val="28"/>
          </w:rPr>
          <w:t>2016年5月30日</w:t>
        </w:r>
      </w:smartTag>
    </w:p>
    <w:p w:rsidR="00F82498" w:rsidRDefault="00F82498" w:rsidP="00F82498">
      <w:pPr>
        <w:jc w:val="right"/>
        <w:rPr>
          <w:rFonts w:ascii="楷体_GB2312" w:eastAsia="楷体_GB2312" w:hint="eastAsia"/>
          <w:sz w:val="28"/>
          <w:szCs w:val="28"/>
        </w:rPr>
      </w:pPr>
    </w:p>
    <w:p w:rsidR="00794103" w:rsidRDefault="00794103"/>
    <w:sectPr w:rsidR="007941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103" w:rsidRDefault="00794103" w:rsidP="00F82498">
      <w:r>
        <w:separator/>
      </w:r>
    </w:p>
  </w:endnote>
  <w:endnote w:type="continuationSeparator" w:id="1">
    <w:p w:rsidR="00794103" w:rsidRDefault="00794103" w:rsidP="00F82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103" w:rsidRDefault="00794103" w:rsidP="00F82498">
      <w:r>
        <w:separator/>
      </w:r>
    </w:p>
  </w:footnote>
  <w:footnote w:type="continuationSeparator" w:id="1">
    <w:p w:rsidR="00794103" w:rsidRDefault="00794103" w:rsidP="00F82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B9A1F3F"/>
    <w:multiLevelType w:val="hybridMultilevel"/>
    <w:tmpl w:val="92008D7C"/>
    <w:lvl w:ilvl="0" w:tplc="5AD4FF24">
      <w:start w:val="1"/>
      <w:numFmt w:val="chineseCountingThousand"/>
      <w:lvlText w:val="（%1）"/>
      <w:lvlJc w:val="left"/>
      <w:pPr>
        <w:tabs>
          <w:tab w:val="num" w:pos="1630"/>
        </w:tabs>
        <w:ind w:left="1630" w:hanging="960"/>
      </w:pPr>
      <w:rPr>
        <w:rFonts w:cs="Times New Roman"/>
      </w:rPr>
    </w:lvl>
    <w:lvl w:ilvl="1" w:tplc="8E000324">
      <w:start w:val="1"/>
      <w:numFmt w:val="lowerLetter"/>
      <w:lvlText w:val="%2)"/>
      <w:lvlJc w:val="left"/>
      <w:pPr>
        <w:tabs>
          <w:tab w:val="num" w:pos="1510"/>
        </w:tabs>
        <w:ind w:left="1510" w:hanging="420"/>
      </w:pPr>
      <w:rPr>
        <w:rFonts w:cs="Times New Roman"/>
      </w:rPr>
    </w:lvl>
    <w:lvl w:ilvl="2" w:tplc="BC360CCE">
      <w:start w:val="1"/>
      <w:numFmt w:val="lowerRoman"/>
      <w:lvlText w:val="%3."/>
      <w:lvlJc w:val="right"/>
      <w:pPr>
        <w:tabs>
          <w:tab w:val="num" w:pos="1930"/>
        </w:tabs>
        <w:ind w:left="1930" w:hanging="420"/>
      </w:pPr>
      <w:rPr>
        <w:rFonts w:cs="Times New Roman"/>
      </w:rPr>
    </w:lvl>
    <w:lvl w:ilvl="3" w:tplc="81E2489C">
      <w:start w:val="1"/>
      <w:numFmt w:val="decimal"/>
      <w:lvlText w:val="%4."/>
      <w:lvlJc w:val="left"/>
      <w:pPr>
        <w:tabs>
          <w:tab w:val="num" w:pos="2350"/>
        </w:tabs>
        <w:ind w:left="2350" w:hanging="420"/>
      </w:pPr>
      <w:rPr>
        <w:rFonts w:cs="Times New Roman"/>
      </w:rPr>
    </w:lvl>
    <w:lvl w:ilvl="4" w:tplc="08A26FC0">
      <w:start w:val="1"/>
      <w:numFmt w:val="lowerLetter"/>
      <w:lvlText w:val="%5)"/>
      <w:lvlJc w:val="left"/>
      <w:pPr>
        <w:tabs>
          <w:tab w:val="num" w:pos="2770"/>
        </w:tabs>
        <w:ind w:left="2770" w:hanging="420"/>
      </w:pPr>
      <w:rPr>
        <w:rFonts w:cs="Times New Roman"/>
      </w:rPr>
    </w:lvl>
    <w:lvl w:ilvl="5" w:tplc="79D4257A">
      <w:start w:val="1"/>
      <w:numFmt w:val="lowerRoman"/>
      <w:lvlText w:val="%6."/>
      <w:lvlJc w:val="right"/>
      <w:pPr>
        <w:tabs>
          <w:tab w:val="num" w:pos="3190"/>
        </w:tabs>
        <w:ind w:left="3190" w:hanging="420"/>
      </w:pPr>
      <w:rPr>
        <w:rFonts w:cs="Times New Roman"/>
      </w:rPr>
    </w:lvl>
    <w:lvl w:ilvl="6" w:tplc="FFB211AC">
      <w:start w:val="1"/>
      <w:numFmt w:val="decimal"/>
      <w:lvlText w:val="%7."/>
      <w:lvlJc w:val="left"/>
      <w:pPr>
        <w:tabs>
          <w:tab w:val="num" w:pos="3610"/>
        </w:tabs>
        <w:ind w:left="3610" w:hanging="420"/>
      </w:pPr>
      <w:rPr>
        <w:rFonts w:cs="Times New Roman"/>
      </w:rPr>
    </w:lvl>
    <w:lvl w:ilvl="7" w:tplc="4D702288">
      <w:start w:val="1"/>
      <w:numFmt w:val="lowerLetter"/>
      <w:lvlText w:val="%8)"/>
      <w:lvlJc w:val="left"/>
      <w:pPr>
        <w:tabs>
          <w:tab w:val="num" w:pos="4030"/>
        </w:tabs>
        <w:ind w:left="4030" w:hanging="420"/>
      </w:pPr>
      <w:rPr>
        <w:rFonts w:cs="Times New Roman"/>
      </w:rPr>
    </w:lvl>
    <w:lvl w:ilvl="8" w:tplc="42BC8200">
      <w:start w:val="1"/>
      <w:numFmt w:val="lowerRoman"/>
      <w:lvlText w:val="%9."/>
      <w:lvlJc w:val="right"/>
      <w:pPr>
        <w:tabs>
          <w:tab w:val="num" w:pos="4450"/>
        </w:tabs>
        <w:ind w:left="4450" w:hanging="420"/>
      </w:pPr>
      <w:rPr>
        <w:rFonts w:cs="Times New Roman"/>
      </w:rPr>
    </w:lvl>
  </w:abstractNum>
  <w:abstractNum w:abstractNumId="1">
    <w:nsid w:val="70CE57E0"/>
    <w:multiLevelType w:val="hybridMultilevel"/>
    <w:tmpl w:val="BD7A9F60"/>
    <w:lvl w:ilvl="0" w:tplc="C1D815A6">
      <w:start w:val="1"/>
      <w:numFmt w:val="japaneseCounting"/>
      <w:lvlText w:val="%1、"/>
      <w:lvlJc w:val="left"/>
      <w:pPr>
        <w:tabs>
          <w:tab w:val="num" w:pos="0"/>
        </w:tabs>
        <w:ind w:left="1360" w:hanging="720"/>
      </w:pPr>
      <w:rPr>
        <w:rFonts w:cs="Times New Roman"/>
      </w:rPr>
    </w:lvl>
    <w:lvl w:ilvl="1" w:tplc="DA9877E8">
      <w:start w:val="1"/>
      <w:numFmt w:val="lowerLetter"/>
      <w:lvlText w:val="%2)"/>
      <w:lvlJc w:val="left"/>
      <w:pPr>
        <w:tabs>
          <w:tab w:val="num" w:pos="0"/>
        </w:tabs>
        <w:ind w:left="1480" w:hanging="420"/>
      </w:pPr>
      <w:rPr>
        <w:rFonts w:cs="Times New Roman"/>
      </w:rPr>
    </w:lvl>
    <w:lvl w:ilvl="2" w:tplc="9CB8BD1C">
      <w:start w:val="1"/>
      <w:numFmt w:val="lowerRoman"/>
      <w:lvlText w:val="%3."/>
      <w:lvlJc w:val="right"/>
      <w:pPr>
        <w:tabs>
          <w:tab w:val="num" w:pos="0"/>
        </w:tabs>
        <w:ind w:left="1900" w:hanging="420"/>
      </w:pPr>
      <w:rPr>
        <w:rFonts w:cs="Times New Roman"/>
      </w:rPr>
    </w:lvl>
    <w:lvl w:ilvl="3" w:tplc="711E138C">
      <w:start w:val="1"/>
      <w:numFmt w:val="decimal"/>
      <w:lvlText w:val="%4."/>
      <w:lvlJc w:val="left"/>
      <w:pPr>
        <w:tabs>
          <w:tab w:val="num" w:pos="0"/>
        </w:tabs>
        <w:ind w:left="2320" w:hanging="420"/>
      </w:pPr>
      <w:rPr>
        <w:rFonts w:cs="Times New Roman"/>
      </w:rPr>
    </w:lvl>
    <w:lvl w:ilvl="4" w:tplc="660A26E0">
      <w:start w:val="1"/>
      <w:numFmt w:val="lowerLetter"/>
      <w:lvlText w:val="%5)"/>
      <w:lvlJc w:val="left"/>
      <w:pPr>
        <w:tabs>
          <w:tab w:val="num" w:pos="0"/>
        </w:tabs>
        <w:ind w:left="2740" w:hanging="420"/>
      </w:pPr>
      <w:rPr>
        <w:rFonts w:cs="Times New Roman"/>
      </w:rPr>
    </w:lvl>
    <w:lvl w:ilvl="5" w:tplc="AB5ED3F2">
      <w:start w:val="1"/>
      <w:numFmt w:val="lowerRoman"/>
      <w:lvlText w:val="%6."/>
      <w:lvlJc w:val="right"/>
      <w:pPr>
        <w:tabs>
          <w:tab w:val="num" w:pos="0"/>
        </w:tabs>
        <w:ind w:left="3160" w:hanging="420"/>
      </w:pPr>
      <w:rPr>
        <w:rFonts w:cs="Times New Roman"/>
      </w:rPr>
    </w:lvl>
    <w:lvl w:ilvl="6" w:tplc="8258FED2">
      <w:start w:val="1"/>
      <w:numFmt w:val="decimal"/>
      <w:lvlText w:val="%7."/>
      <w:lvlJc w:val="left"/>
      <w:pPr>
        <w:tabs>
          <w:tab w:val="num" w:pos="0"/>
        </w:tabs>
        <w:ind w:left="3580" w:hanging="420"/>
      </w:pPr>
      <w:rPr>
        <w:rFonts w:cs="Times New Roman"/>
      </w:rPr>
    </w:lvl>
    <w:lvl w:ilvl="7" w:tplc="438A6832">
      <w:start w:val="1"/>
      <w:numFmt w:val="lowerLetter"/>
      <w:lvlText w:val="%8)"/>
      <w:lvlJc w:val="left"/>
      <w:pPr>
        <w:tabs>
          <w:tab w:val="num" w:pos="0"/>
        </w:tabs>
        <w:ind w:left="4000" w:hanging="420"/>
      </w:pPr>
      <w:rPr>
        <w:rFonts w:cs="Times New Roman"/>
      </w:rPr>
    </w:lvl>
    <w:lvl w:ilvl="8" w:tplc="DF765D36">
      <w:start w:val="1"/>
      <w:numFmt w:val="lowerRoman"/>
      <w:lvlText w:val="%9."/>
      <w:lvlJc w:val="right"/>
      <w:pPr>
        <w:tabs>
          <w:tab w:val="num" w:pos="0"/>
        </w:tabs>
        <w:ind w:left="442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2498"/>
    <w:rsid w:val="00794103"/>
    <w:rsid w:val="00F824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4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2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2498"/>
    <w:rPr>
      <w:sz w:val="18"/>
      <w:szCs w:val="18"/>
    </w:rPr>
  </w:style>
  <w:style w:type="paragraph" w:styleId="a4">
    <w:name w:val="footer"/>
    <w:basedOn w:val="a"/>
    <w:link w:val="Char0"/>
    <w:uiPriority w:val="99"/>
    <w:semiHidden/>
    <w:unhideWhenUsed/>
    <w:rsid w:val="00F824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2498"/>
    <w:rPr>
      <w:sz w:val="18"/>
      <w:szCs w:val="18"/>
    </w:rPr>
  </w:style>
  <w:style w:type="paragraph" w:customStyle="1" w:styleId="1">
    <w:name w:val="列出段落1"/>
    <w:basedOn w:val="a"/>
    <w:rsid w:val="00F82498"/>
    <w:pPr>
      <w:ind w:firstLineChars="200" w:firstLine="20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Words>
  <Characters>1021</Characters>
  <Application>Microsoft Office Word</Application>
  <DocSecurity>0</DocSecurity>
  <Lines>8</Lines>
  <Paragraphs>2</Paragraphs>
  <ScaleCrop>false</ScaleCrop>
  <Company>china</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taojin</dc:creator>
  <cp:keywords/>
  <dc:description/>
  <cp:lastModifiedBy>taojin</cp:lastModifiedBy>
  <cp:revision>3</cp:revision>
  <dcterms:created xsi:type="dcterms:W3CDTF">2016-06-16T02:11:00Z</dcterms:created>
  <dcterms:modified xsi:type="dcterms:W3CDTF">2016-06-16T02:12:00Z</dcterms:modified>
</cp:coreProperties>
</file>