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关于开展全校主要学生干部专题培训的通知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</w:t>
      </w:r>
      <w:r>
        <w:rPr>
          <w:rFonts w:hint="eastAsia" w:ascii="仿宋_GB2312" w:hAnsi="仿宋_GB2312" w:eastAsia="仿宋_GB2312" w:cs="仿宋_GB2312"/>
          <w:sz w:val="28"/>
          <w:szCs w:val="28"/>
        </w:rPr>
        <w:t>院分团委、各级学生组织：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进一步深入学习习近平新时代中国特色社会社会主义思想，贯彻落实党的十九大精神和团的十八大精神，加强我校学生干部队伍建设，提高团学干部的思想政治素质、政策理论水平和实践能力水平，全心全意为同学服务，加强基层团组织建设，提升团支部活力，努力打造一支信念坚定、品学兼优、朝气蓬勃、心系青年的学生骨干队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校团委计划举办全校主要学生干部专题培训活动。现将有关事宜通知如下：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一、组织形式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培训主要分为集中学习和分组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实践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两种方式，主要采用专题讲座、经验交流、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团体辅导、志愿服务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等形式。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培训时间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年1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28"/>
          <w:szCs w:val="28"/>
        </w:rPr>
        <w:t>旬—1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28"/>
          <w:szCs w:val="28"/>
        </w:rPr>
        <w:t>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、培训对象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级团支部书记、班长；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校级学生组织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全体</w:t>
      </w:r>
      <w:r>
        <w:rPr>
          <w:rFonts w:hint="eastAsia" w:ascii="仿宋_GB2312" w:hAnsi="仿宋_GB2312" w:eastAsia="仿宋_GB2312" w:cs="仿宋_GB2312"/>
          <w:sz w:val="28"/>
          <w:szCs w:val="28"/>
        </w:rPr>
        <w:t>成员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;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学生协会主要负责人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、具体内容及日程安排</w:t>
      </w:r>
    </w:p>
    <w:tbl>
      <w:tblPr>
        <w:tblStyle w:val="6"/>
        <w:tblW w:w="10482" w:type="dxa"/>
        <w:jc w:val="center"/>
        <w:tblInd w:w="-1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3114"/>
        <w:gridCol w:w="2646"/>
        <w:gridCol w:w="1020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11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培训内容</w:t>
            </w:r>
          </w:p>
        </w:tc>
        <w:tc>
          <w:tcPr>
            <w:tcW w:w="264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培训对象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  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日（周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8:3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20:00</w:t>
            </w:r>
          </w:p>
        </w:tc>
        <w:tc>
          <w:tcPr>
            <w:tcW w:w="311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  <w:t>《如何以实际行动做一名合格的学生干部》</w:t>
            </w:r>
          </w:p>
        </w:tc>
        <w:tc>
          <w:tcPr>
            <w:tcW w:w="264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级团支部书记、班长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郭佳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11-106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日（周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18:30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20:0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11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  <w:t>《学生干部技能培训之文案与礼仪》</w:t>
            </w:r>
          </w:p>
        </w:tc>
        <w:tc>
          <w:tcPr>
            <w:tcW w:w="264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校级学生组织成员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协会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主要负责人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高霞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11-106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11月16日（周五）</w:t>
            </w:r>
          </w:p>
          <w:p>
            <w:pPr>
              <w:keepNext w:val="0"/>
              <w:keepLines w:val="0"/>
              <w:pageBreakBefore w:val="0"/>
              <w:tabs>
                <w:tab w:val="left" w:pos="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13:0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11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  <w:t>《倾听自我、相伴成长》</w:t>
            </w:r>
          </w:p>
        </w:tc>
        <w:tc>
          <w:tcPr>
            <w:tcW w:w="264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校级学生组织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部长以上干部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韩培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另行通知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-12月下旬</w:t>
            </w:r>
          </w:p>
        </w:tc>
        <w:tc>
          <w:tcPr>
            <w:tcW w:w="311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  <w:t>志愿服务活动</w:t>
            </w:r>
          </w:p>
        </w:tc>
        <w:tc>
          <w:tcPr>
            <w:tcW w:w="264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校级学生组织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罗萍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另行通知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1、请各单位认真组织培训对象准时参加，并指定负责人做好培训考勤工作。</w:t>
      </w: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</w:rPr>
        <w:t>相关学生干部应积极参加相应培训课程，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  <w:lang w:eastAsia="zh-CN"/>
        </w:rPr>
        <w:t>并</w:t>
      </w: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</w:rPr>
        <w:t>遵守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  <w:lang w:eastAsia="zh-CN"/>
        </w:rPr>
        <w:t>课堂</w:t>
      </w: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</w:rPr>
        <w:t>纪律，认真听讲。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分团委要结合自身实际，制定相关学生干部培训计划，培训完成时要及时进行总结。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、请各单位于1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将学员名单</w:t>
      </w:r>
      <w:r>
        <w:rPr>
          <w:rFonts w:hint="eastAsia" w:ascii="仿宋_GB2312" w:hAnsi="仿宋_GB2312" w:eastAsia="仿宋_GB2312" w:cs="仿宋_GB2312"/>
          <w:sz w:val="28"/>
          <w:szCs w:val="28"/>
        </w:rPr>
        <w:t>上报校团委（电子档和书面各一份）。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附件1：名额分配表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附件2：学员信息表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校团委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-10-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</w:t>
      </w:r>
    </w:p>
    <w:p>
      <w:pPr>
        <w:spacing w:line="520" w:lineRule="exact"/>
        <w:rPr>
          <w:rFonts w:hint="eastAsia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：名额分配表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28"/>
          <w:szCs w:val="28"/>
        </w:rPr>
        <w:t>《如何以实际行动做一名合格的学生干部》培训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名额分配表</w:t>
      </w:r>
    </w:p>
    <w:tbl>
      <w:tblPr>
        <w:tblStyle w:val="6"/>
        <w:tblW w:w="5909" w:type="dxa"/>
        <w:jc w:val="center"/>
        <w:tblInd w:w="-20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620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</w:t>
            </w:r>
          </w:p>
        </w:tc>
        <w:tc>
          <w:tcPr>
            <w:tcW w:w="16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级班长</w:t>
            </w:r>
          </w:p>
        </w:tc>
        <w:tc>
          <w:tcPr>
            <w:tcW w:w="174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信息科学与工程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</w:t>
            </w:r>
          </w:p>
        </w:tc>
        <w:tc>
          <w:tcPr>
            <w:tcW w:w="16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</w:t>
            </w:r>
          </w:p>
        </w:tc>
        <w:tc>
          <w:tcPr>
            <w:tcW w:w="174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机电自动化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</w:t>
            </w:r>
          </w:p>
        </w:tc>
        <w:tc>
          <w:tcPr>
            <w:tcW w:w="16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</w:p>
        </w:tc>
        <w:tc>
          <w:tcPr>
            <w:tcW w:w="174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54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城市建设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</w:t>
            </w:r>
          </w:p>
        </w:tc>
        <w:tc>
          <w:tcPr>
            <w:tcW w:w="16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174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</w:t>
            </w:r>
          </w:p>
        </w:tc>
        <w:tc>
          <w:tcPr>
            <w:tcW w:w="16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174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经济管理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</w:t>
            </w:r>
          </w:p>
        </w:tc>
        <w:tc>
          <w:tcPr>
            <w:tcW w:w="16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28</w:t>
            </w:r>
          </w:p>
        </w:tc>
        <w:tc>
          <w:tcPr>
            <w:tcW w:w="174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新闻与法学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</w:t>
            </w:r>
          </w:p>
        </w:tc>
        <w:tc>
          <w:tcPr>
            <w:tcW w:w="16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174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54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艺术设计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</w:t>
            </w:r>
          </w:p>
        </w:tc>
        <w:tc>
          <w:tcPr>
            <w:tcW w:w="16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</w:t>
            </w:r>
          </w:p>
        </w:tc>
        <w:tc>
          <w:tcPr>
            <w:tcW w:w="174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合计</w:t>
            </w:r>
          </w:p>
        </w:tc>
        <w:tc>
          <w:tcPr>
            <w:tcW w:w="3363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254</w:t>
            </w:r>
          </w:p>
        </w:tc>
      </w:tr>
    </w:tbl>
    <w:p>
      <w:pPr>
        <w:tabs>
          <w:tab w:val="left" w:pos="2078"/>
          <w:tab w:val="center" w:pos="4213"/>
        </w:tabs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tabs>
          <w:tab w:val="left" w:pos="2078"/>
          <w:tab w:val="center" w:pos="4213"/>
        </w:tabs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tabs>
          <w:tab w:val="left" w:pos="2078"/>
          <w:tab w:val="center" w:pos="4213"/>
        </w:tabs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color w:val="222222"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28"/>
          <w:szCs w:val="28"/>
        </w:rPr>
        <w:t>《学生干部技能培训之文案与礼仪》培训名额分配表</w:t>
      </w:r>
    </w:p>
    <w:tbl>
      <w:tblPr>
        <w:tblStyle w:val="6"/>
        <w:tblW w:w="6038" w:type="dxa"/>
        <w:jc w:val="center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学生组织</w:t>
            </w:r>
          </w:p>
        </w:tc>
        <w:tc>
          <w:tcPr>
            <w:tcW w:w="158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校学生会</w:t>
            </w:r>
          </w:p>
        </w:tc>
        <w:tc>
          <w:tcPr>
            <w:tcW w:w="158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团委办公室</w:t>
            </w:r>
          </w:p>
        </w:tc>
        <w:tc>
          <w:tcPr>
            <w:tcW w:w="158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45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学生团体联合会及各协会主要负责人</w:t>
            </w:r>
          </w:p>
        </w:tc>
        <w:tc>
          <w:tcPr>
            <w:tcW w:w="158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青年志愿者协会</w:t>
            </w:r>
          </w:p>
        </w:tc>
        <w:tc>
          <w:tcPr>
            <w:tcW w:w="158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礼仪队</w:t>
            </w:r>
          </w:p>
        </w:tc>
        <w:tc>
          <w:tcPr>
            <w:tcW w:w="158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大学生艺术团</w:t>
            </w:r>
          </w:p>
        </w:tc>
        <w:tc>
          <w:tcPr>
            <w:tcW w:w="158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45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合计</w:t>
            </w:r>
          </w:p>
        </w:tc>
        <w:tc>
          <w:tcPr>
            <w:tcW w:w="158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286</w:t>
            </w:r>
          </w:p>
        </w:tc>
      </w:tr>
    </w:tbl>
    <w:p>
      <w:pPr>
        <w:tabs>
          <w:tab w:val="left" w:pos="2078"/>
          <w:tab w:val="center" w:pos="4213"/>
        </w:tabs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tabs>
          <w:tab w:val="left" w:pos="2078"/>
          <w:tab w:val="center" w:pos="4213"/>
        </w:tabs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tabs>
          <w:tab w:val="left" w:pos="2078"/>
          <w:tab w:val="center" w:pos="4213"/>
        </w:tabs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tabs>
          <w:tab w:val="left" w:pos="2078"/>
          <w:tab w:val="center" w:pos="4213"/>
        </w:tabs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tabs>
          <w:tab w:val="left" w:pos="2078"/>
          <w:tab w:val="center" w:pos="4213"/>
        </w:tabs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  <w:bookmarkStart w:id="0" w:name="_GoBack"/>
      <w:bookmarkEnd w:id="0"/>
    </w:p>
    <w:p>
      <w:pPr>
        <w:tabs>
          <w:tab w:val="left" w:pos="2078"/>
          <w:tab w:val="center" w:pos="4213"/>
        </w:tabs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附件2：学员信息表</w:t>
      </w:r>
    </w:p>
    <w:p>
      <w:pPr>
        <w:spacing w:after="312" w:afterLines="100" w:line="520" w:lineRule="exact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武昌首义学院学生干部培训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班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学员信息统计表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</w:t>
      </w:r>
    </w:p>
    <w:p>
      <w:pPr>
        <w:spacing w:line="520" w:lineRule="exact"/>
        <w:ind w:right="64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填表单位：          </w:t>
      </w:r>
      <w:r>
        <w:rPr>
          <w:rFonts w:hint="eastAsia" w:ascii="仿宋_GB2312" w:hAnsi="仿宋_GB2312" w:eastAsia="仿宋_GB2312" w:cs="仿宋_GB2312"/>
          <w:sz w:val="24"/>
        </w:rPr>
        <w:t xml:space="preserve">负责人：          负责人电话：                          </w:t>
      </w:r>
    </w:p>
    <w:tbl>
      <w:tblPr>
        <w:tblStyle w:val="6"/>
        <w:tblW w:w="6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548"/>
        <w:gridCol w:w="1150"/>
        <w:gridCol w:w="800"/>
        <w:gridCol w:w="1313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tabs>
                <w:tab w:val="left" w:pos="456"/>
                <w:tab w:val="center" w:pos="1202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序号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专业班级</w:t>
            </w:r>
          </w:p>
        </w:tc>
        <w:tc>
          <w:tcPr>
            <w:tcW w:w="1548" w:type="dxa"/>
            <w:vAlign w:val="center"/>
          </w:tcPr>
          <w:p>
            <w:pPr>
              <w:tabs>
                <w:tab w:val="center" w:pos="1202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专业班级</w:t>
            </w: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联系电话</w:t>
            </w: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/>
    <w:p/>
    <w:p/>
    <w:sectPr>
      <w:pgSz w:w="11906" w:h="16838"/>
      <w:pgMar w:top="820" w:right="1486" w:bottom="109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FF63D"/>
    <w:multiLevelType w:val="singleLevel"/>
    <w:tmpl w:val="580FF6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E717A"/>
    <w:rsid w:val="0D2F39A2"/>
    <w:rsid w:val="0E8815DA"/>
    <w:rsid w:val="115F2E94"/>
    <w:rsid w:val="18215E67"/>
    <w:rsid w:val="1C206EF4"/>
    <w:rsid w:val="1DA01440"/>
    <w:rsid w:val="239B407D"/>
    <w:rsid w:val="250F772D"/>
    <w:rsid w:val="2E923685"/>
    <w:rsid w:val="342C5BAC"/>
    <w:rsid w:val="3C7A5D02"/>
    <w:rsid w:val="46254DA5"/>
    <w:rsid w:val="498108B3"/>
    <w:rsid w:val="4AA27E8E"/>
    <w:rsid w:val="51275969"/>
    <w:rsid w:val="531514A9"/>
    <w:rsid w:val="536A225F"/>
    <w:rsid w:val="57400ED0"/>
    <w:rsid w:val="576B3A6E"/>
    <w:rsid w:val="58E124B5"/>
    <w:rsid w:val="5E802AE7"/>
    <w:rsid w:val="695815C7"/>
    <w:rsid w:val="69B0173F"/>
    <w:rsid w:val="69E530B2"/>
    <w:rsid w:val="69F44BFF"/>
    <w:rsid w:val="6AE160F9"/>
    <w:rsid w:val="6B913D62"/>
    <w:rsid w:val="6C466E00"/>
    <w:rsid w:val="6D535020"/>
    <w:rsid w:val="6EA541E0"/>
    <w:rsid w:val="70CE717A"/>
    <w:rsid w:val="724A6953"/>
    <w:rsid w:val="79242C0B"/>
    <w:rsid w:val="7B9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04040"/>
      <w:u w:val="none"/>
    </w:rPr>
  </w:style>
  <w:style w:type="character" w:styleId="5">
    <w:name w:val="Hyperlink"/>
    <w:basedOn w:val="3"/>
    <w:uiPriority w:val="0"/>
    <w:rPr>
      <w:color w:val="404040"/>
      <w:u w:val="none"/>
    </w:rPr>
  </w:style>
  <w:style w:type="character" w:customStyle="1" w:styleId="7">
    <w:name w:val="t"/>
    <w:basedOn w:val="3"/>
    <w:qFormat/>
    <w:uiPriority w:val="0"/>
    <w:rPr>
      <w:b/>
      <w:color w:val="FFFFFF"/>
      <w:sz w:val="21"/>
      <w:szCs w:val="21"/>
    </w:rPr>
  </w:style>
  <w:style w:type="paragraph" w:customStyle="1" w:styleId="8">
    <w:name w:val="_Style 7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2018-10-22T06:26:00Z</dcterms:created>
  <dc:creator>Administrator</dc:creator>
  <cp:lastModifiedBy>Administrator</cp:lastModifiedBy>
  <dcterms:modified xsi:type="dcterms:W3CDTF">2018-10-29T06:36:17Z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