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34" w:rsidRDefault="009A6C34" w:rsidP="009A6C34">
      <w:pPr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湖北省高校精品在线开放课程建设技术标准（试行）</w:t>
      </w:r>
    </w:p>
    <w:p w:rsidR="009A6C34" w:rsidRDefault="009A6C34" w:rsidP="009A6C34">
      <w:pPr>
        <w:spacing w:line="520" w:lineRule="exact"/>
        <w:jc w:val="center"/>
        <w:rPr>
          <w:rFonts w:ascii="黑体" w:eastAsia="黑体" w:hAnsi="黑体" w:hint="eastAsia"/>
          <w:szCs w:val="32"/>
        </w:rPr>
      </w:pPr>
    </w:p>
    <w:p w:rsidR="009A6C34" w:rsidRDefault="009A6C34" w:rsidP="009A6C34">
      <w:pPr>
        <w:spacing w:line="520" w:lineRule="exact"/>
        <w:ind w:firstLineChars="200" w:firstLine="640"/>
        <w:rPr>
          <w:rFonts w:ascii="黑体" w:eastAsia="黑体" w:hAnsi="黑体" w:hint="eastAsia"/>
          <w:szCs w:val="32"/>
        </w:rPr>
      </w:pPr>
      <w:r>
        <w:rPr>
          <w:rFonts w:ascii="黑体" w:eastAsia="黑体" w:hAnsi="黑体" w:hint="eastAsia"/>
          <w:szCs w:val="32"/>
        </w:rPr>
        <w:t>一、课程建设总体要求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.课程内容与资源。体现现代教育思想、教学理念，符合教育教学规律，及时反映学科最新发展成果和教改教研成果；根据教学目标、学科特点、学生认知规律及教学方式，围绕学科核心概念及教学内容和资源间关系，按照教学单元、专题或模块的框架，合理、有序的设计知识单元和拆分、配置知识点及技能点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课程基本资源系统完整，视频、音频、教案和演示文稿等经过精心设计和制作，内容准确、系统、完整，对教学内容、教学方法、教学手段等进行了统筹、集成，应用效果好，有助于提高学生学习兴趣，改善教学效果；拓展资源能反映本课程教学特点、建设优势，应用于教或学的某一环节、支持教学或学习过程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2.教学设计与方法。能够根据专业特点及学生层次制定课程教学目标，课程本身与每个教学单元、专题都有明确的知识、技能、情感目标，目标实现与否可以测量；遵循有效教学的基本规律，以教学目标为导向，精心设计教学活动，科学规划在线学习资源和教学资源，明确学习评价策略和学习激励措施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3.教学活动设计。要重视学习任务与活动设计，体现以学生为主体、以教师为主导的教育理念，能综合运用多种方式、多种手段开展学生的学习活动，积极开展案例式、混合式、探究式等多种教学模式的学习，活动形式包括但不限于在线异步讨论、笔记、信息提醒、测验、教师答疑、作业、</w:t>
      </w:r>
      <w:r>
        <w:rPr>
          <w:rFonts w:ascii="仿宋_GB2312" w:hint="eastAsia"/>
          <w:szCs w:val="32"/>
        </w:rPr>
        <w:lastRenderedPageBreak/>
        <w:t>同伴互评、线下讨论、问卷、实时讨论、维基和一对一辅导。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4.学习评价设计。根据课程特点建立多元化学习评价体系，</w:t>
      </w:r>
      <w:proofErr w:type="gramStart"/>
      <w:r>
        <w:rPr>
          <w:rFonts w:ascii="仿宋_GB2312" w:hint="eastAsia"/>
          <w:szCs w:val="32"/>
        </w:rPr>
        <w:t>探索线</w:t>
      </w:r>
      <w:proofErr w:type="gramEnd"/>
      <w:r>
        <w:rPr>
          <w:rFonts w:ascii="仿宋_GB2312" w:hint="eastAsia"/>
          <w:szCs w:val="32"/>
        </w:rPr>
        <w:t>上和线下融合，过程性评价与终结性评价相结合的多元化考核评价模式，有明确合理的课程整体评价策略和各学习周、知识单元的评价策略，包括完成课程学习必须的各项学习活动的数量及评分的标准等；反馈及时；能记录学习和交互过程，并用于学习评价和教学研究。评价类型包括但不限于</w:t>
      </w:r>
      <w:proofErr w:type="gramStart"/>
      <w:r>
        <w:rPr>
          <w:rFonts w:ascii="仿宋_GB2312" w:hint="eastAsia"/>
          <w:szCs w:val="32"/>
        </w:rPr>
        <w:t>随堂小测验</w:t>
      </w:r>
      <w:proofErr w:type="gramEnd"/>
      <w:r>
        <w:rPr>
          <w:rFonts w:ascii="仿宋_GB2312" w:hint="eastAsia"/>
          <w:szCs w:val="32"/>
        </w:rPr>
        <w:t>、单元测验、单元作业、讨论、调查、线下考试、期末考试和作业，原则上每个一级单元至少有一份习题作业。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5.团队支持与服务。课程建设负责人应为高校正式聘用，具有良好师德、丰富的教学经验和较高的学术造诣的教师，至少</w:t>
      </w:r>
      <w:proofErr w:type="gramStart"/>
      <w:r>
        <w:rPr>
          <w:rFonts w:ascii="仿宋_GB2312" w:hint="eastAsia"/>
          <w:szCs w:val="32"/>
        </w:rPr>
        <w:t>应承担本课程</w:t>
      </w:r>
      <w:proofErr w:type="gramEnd"/>
      <w:r>
        <w:rPr>
          <w:rFonts w:ascii="仿宋_GB2312" w:hint="eastAsia"/>
          <w:szCs w:val="32"/>
        </w:rPr>
        <w:t>25%以上的授课视频录制任务；课程主讲教师应为教学一线长期承担本课程教学任务的教师，主要人员具有丰富的网络教学和在线开放课程建设经验；支持和鼓励教学名师、知名专家主讲开放课程，鼓励开展跨校、跨专业、跨层次建设满足不同教学需要、不同学习需求的在线开放课程或课程群；课程团队的知识结构、年龄结构、学</w:t>
      </w:r>
      <w:proofErr w:type="gramStart"/>
      <w:r>
        <w:rPr>
          <w:rFonts w:ascii="仿宋_GB2312" w:hint="eastAsia"/>
          <w:szCs w:val="32"/>
        </w:rPr>
        <w:t>缘结构</w:t>
      </w:r>
      <w:proofErr w:type="gramEnd"/>
      <w:r>
        <w:rPr>
          <w:rFonts w:ascii="仿宋_GB2312" w:hint="eastAsia"/>
          <w:szCs w:val="32"/>
        </w:rPr>
        <w:t>及任务分工合理，团队成员包括专业教师和教育技术人员。课程正式运行后，能保证每学年都对外校开放，课程团队应能长期在线服务课程建设，承担课程内容更新、在线辅导、答疑等。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6.教学效果与影响。基于大数据信息采集分析，全程记录和跟踪教师的教学、学生的学习过程、学习进度、内容和反馈，全面跟踪和分析每个学生的个性特点、学习行为，对进度缓慢或有可能弃学的学生进行回访和提醒，同时为学习</w:t>
      </w:r>
      <w:r>
        <w:rPr>
          <w:rFonts w:ascii="仿宋_GB2312" w:hint="eastAsia"/>
          <w:szCs w:val="32"/>
        </w:rPr>
        <w:lastRenderedPageBreak/>
        <w:t>者提供及时的反馈信息。开展学习者问卷调查，及时根据调查反馈信息改进课程资源设计和教学。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充分发挥课程共享作用，推进在线开放课程学分认定和学分管理制度创新。支持各高校之间在合作、共赢、协议的基础上实现在线开放共享课程的互认。课程的初始学分由建设该课程的高校设定，其它高校可在双方、多方协议的基础上，根据本校专业设置和课程学分设置标准自行认定学分。</w:t>
      </w:r>
    </w:p>
    <w:p w:rsidR="009A6C34" w:rsidRDefault="009A6C34" w:rsidP="009A6C34">
      <w:pPr>
        <w:spacing w:line="520" w:lineRule="exact"/>
        <w:ind w:firstLineChars="200" w:firstLine="640"/>
        <w:rPr>
          <w:rFonts w:ascii="黑体" w:eastAsia="黑体" w:hAnsi="黑体" w:hint="eastAsia"/>
          <w:szCs w:val="32"/>
        </w:rPr>
      </w:pPr>
      <w:r>
        <w:rPr>
          <w:rFonts w:ascii="黑体" w:eastAsia="黑体" w:hAnsi="黑体" w:hint="eastAsia"/>
          <w:szCs w:val="32"/>
        </w:rPr>
        <w:t>二、课程要件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1.课程介绍。课程介绍包括课程特点、教学目标、教学内容覆盖面、教学方法及组织形式、授课对象要求、教材与参考资料、课程已开设和面向社会开放情况等内容。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2.教学大纲。教学大纲以纲要形式规定课程的教学内容，具体应包括课程的教学目的、教学任务、教学内容的结构、模块或单元教学目标与任务、教学活动以及教学方法上的基本要求等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3.教学日历。教学日历是教师</w:t>
      </w:r>
      <w:proofErr w:type="gramStart"/>
      <w:r>
        <w:rPr>
          <w:rFonts w:ascii="仿宋_GB2312" w:hint="eastAsia"/>
          <w:szCs w:val="32"/>
        </w:rPr>
        <w:t>组织线</w:t>
      </w:r>
      <w:proofErr w:type="gramEnd"/>
      <w:r>
        <w:rPr>
          <w:rFonts w:ascii="仿宋_GB2312" w:hint="eastAsia"/>
          <w:szCs w:val="32"/>
        </w:rPr>
        <w:t>上课程教学的具体实施计划表，应按周来明确规定教学进程、授课内容、授课方式、讨论主题与要求、线上线下作业等教学活动的时间进度。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4.课程导学。课程导</w:t>
      </w:r>
      <w:proofErr w:type="gramStart"/>
      <w:r>
        <w:rPr>
          <w:rFonts w:ascii="仿宋_GB2312" w:hint="eastAsia"/>
          <w:szCs w:val="32"/>
        </w:rPr>
        <w:t>学包括</w:t>
      </w:r>
      <w:proofErr w:type="gramEnd"/>
      <w:r>
        <w:rPr>
          <w:rFonts w:ascii="仿宋_GB2312" w:hint="eastAsia"/>
          <w:szCs w:val="32"/>
        </w:rPr>
        <w:t>课程学习指南、学习建议，各课程单元的学习指南、学习方法建议，各种学习活动和学习方法介绍，常见问题等。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5.教师授课视频。教师授课视频按教学知识单元录制，每个视频针对1～2个知识单元，要求结构完整。每个视频片段5-15分钟为宜，最多不超过20分钟。每1个学分当量的课程学时应不少于16学时，教学视频（不含素材）应不</w:t>
      </w:r>
      <w:r>
        <w:rPr>
          <w:rFonts w:ascii="仿宋_GB2312" w:hint="eastAsia"/>
          <w:szCs w:val="32"/>
        </w:rPr>
        <w:lastRenderedPageBreak/>
        <w:t>少于120分钟。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6.教学资料。教学资料包括每个授课单元的课程教学演示文稿，以及其他参考资料、文献、案例等。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7.教师团队。课程负责人及主讲教师基本情况介绍；课程团队构成及介绍，包括教学设计人员、助教、拍摄制作人员、技术支持人员、志愿者等。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8.课堂讨论。每个单元可以安排有一个或多个课堂讨论，需设定讨论的主题。课堂讨论是教学团队在教学单元中发起的讨论。教师可选择将学生发言情况记入学生的平时成绩。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9.测验。测验包括随堂测验和单元测验，随堂测验可以安排添加在某个教学单元中的多个教学视频间，可以方便学生即学即练，也便于老师随时考查学生对教学内容的理解和掌握程度；单元测验一般安排在整个教学单元学习完成之后进行。随堂测验和单元测验一般由客观题组成，题型可以是单一的单选题、多选题、填空题、判断题，或是上述多种题型的组合，平台自动判分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10.作业。作业的形式可以是主观题、客观题，或是两者的组合，可以采用学生互评或教师批改的方式进行判分。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11.试卷。试卷是检测学生课程阶段性或整体学习情况的正式测验题，可以包括客观题、主观题及两者的组合题；试题满足测试目标的要求，涵盖考查范围内的主要知识点，考查内容的题量和试题难度分布应与教学内容结构一致，具有一定的效度和信度，前后顺序必须合理，试题之间不能相互提示，不能相互矛盾。客观题由平台自动判分，主观题采用学生互评或教师批改的方式进行判分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12.课程评价。课程评价包括完成课程学习必需的课程</w:t>
      </w:r>
      <w:r>
        <w:rPr>
          <w:rFonts w:ascii="仿宋_GB2312" w:hint="eastAsia"/>
          <w:szCs w:val="32"/>
        </w:rPr>
        <w:lastRenderedPageBreak/>
        <w:t>整体评价策略和各学习周、知识单元的评价策略，评价策略明确了完成每个知识单元、每个学习周</w:t>
      </w:r>
      <w:proofErr w:type="gramStart"/>
      <w:r>
        <w:rPr>
          <w:rFonts w:ascii="仿宋_GB2312" w:hint="eastAsia"/>
          <w:szCs w:val="32"/>
        </w:rPr>
        <w:t>以及整门课程</w:t>
      </w:r>
      <w:proofErr w:type="gramEnd"/>
      <w:r>
        <w:rPr>
          <w:rFonts w:ascii="仿宋_GB2312" w:hint="eastAsia"/>
          <w:szCs w:val="32"/>
        </w:rPr>
        <w:t>学习所必须按时完成的各项学习活动的数量、评分标准及成绩合成比例等，列入评价的学习活动包括视频点播、学习讨论、在线测试、在线作业、材料阅读等。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13.拓展资源。拓展资源指反映课程特点，应用于各教学与学习环节，支持课程教学和学习过程，较为成熟的多样性、交互性辅助资源。例如：案例库、专题讲座库、素材资源库，学科专业知识检索系统、演示/虚拟/仿真实验实训(实习)系统、试题库系统、作业系统、在线自测/考试系统，课程教学、学习和交流工具及综合应用多媒体技术建设的网络课程等</w:t>
      </w:r>
    </w:p>
    <w:p w:rsidR="009A6C34" w:rsidRDefault="009A6C34" w:rsidP="009A6C34">
      <w:pPr>
        <w:spacing w:line="520" w:lineRule="exact"/>
        <w:ind w:firstLineChars="200" w:firstLine="640"/>
        <w:rPr>
          <w:rFonts w:ascii="黑体" w:eastAsia="黑体" w:hAnsi="黑体" w:hint="eastAsia"/>
          <w:szCs w:val="32"/>
        </w:rPr>
      </w:pPr>
      <w:r>
        <w:rPr>
          <w:rFonts w:ascii="黑体" w:eastAsia="黑体" w:hAnsi="黑体" w:hint="eastAsia"/>
          <w:szCs w:val="32"/>
        </w:rPr>
        <w:t>三、视频内容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1.屏幕图像的构图合理，画面主体突出。人像及肢体动作以及配合讲授选用的板书、画板、教具实物、模型和实验设备等均不能超出镜头所及范围。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2.授课视频的</w:t>
      </w:r>
      <w:proofErr w:type="gramStart"/>
      <w:r>
        <w:rPr>
          <w:rFonts w:ascii="仿宋_GB2312" w:hint="eastAsia"/>
          <w:szCs w:val="32"/>
        </w:rPr>
        <w:t>的</w:t>
      </w:r>
      <w:proofErr w:type="gramEnd"/>
      <w:r>
        <w:rPr>
          <w:rFonts w:ascii="仿宋_GB2312" w:hint="eastAsia"/>
          <w:szCs w:val="32"/>
        </w:rPr>
        <w:t>背景可采用彩色喷绘、电脑虚拟或现场实景等背景。背景的颜色、图案不易过多，应保持静态，画面应简洁、明快，有利于营造学习气氛。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3.摄像镜头应保持与主讲教师目光平视的角度。主讲教师不应较长时间仰视或俯视。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4.使用资料、图片、外景实拍、实验和表演等形象化教学手段，应符合教学内容要求，与讲授内容联系紧密，手段选用恰当。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5.选用影视作品或自拍素材，应注明素材来源。影视作品或自拍素材中涉及人物访谈内容时，应加注人物介绍。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lastRenderedPageBreak/>
        <w:t>6.选用的资料、图片等素材画面应清楚，对于历史资料、图片应进行再加工。选用的资料、图片等素材应注明素材来源及原始信息（如字画的作品、生卒年月，影视片断的作品名称、创作年代等信息）。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7.动画的设计与使用，要与课程内容相贴切，能够发挥良好的教学效果。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8.动画的实现须流畅、合理、图像清晰，具有较强的可视性。</w:t>
      </w:r>
    </w:p>
    <w:p w:rsidR="009A6C34" w:rsidRDefault="009A6C34" w:rsidP="009A6C34">
      <w:pPr>
        <w:spacing w:line="520" w:lineRule="exact"/>
        <w:ind w:firstLineChars="200" w:firstLine="640"/>
        <w:rPr>
          <w:rFonts w:ascii="黑体" w:eastAsia="黑体" w:hAnsi="黑体" w:hint="eastAsia"/>
          <w:szCs w:val="32"/>
        </w:rPr>
      </w:pPr>
      <w:r>
        <w:rPr>
          <w:rFonts w:ascii="黑体" w:eastAsia="黑体" w:hAnsi="黑体" w:hint="eastAsia"/>
          <w:szCs w:val="32"/>
        </w:rPr>
        <w:t>四、视频技术规格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1.视频信号源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（1）稳定性：全片图像同步性能稳定，无失步现象，图像无抖动跳跃，色彩无突变，编辑点处图像稳定。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（2）色调：白平衡正确，无明显偏色，多机拍摄的镜头衔接处无明显色差。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（3）画幅：建议采用16:9，720p或1080p。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2.音频信号源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（1）声道：教师讲授内容音频信号记录于第1声道，音乐、音效、同期</w:t>
      </w:r>
      <w:proofErr w:type="gramStart"/>
      <w:r>
        <w:rPr>
          <w:rFonts w:ascii="仿宋_GB2312" w:hint="eastAsia"/>
          <w:szCs w:val="32"/>
        </w:rPr>
        <w:t>声记录</w:t>
      </w:r>
      <w:proofErr w:type="gramEnd"/>
      <w:r>
        <w:rPr>
          <w:rFonts w:ascii="仿宋_GB2312" w:hint="eastAsia"/>
          <w:szCs w:val="32"/>
        </w:rPr>
        <w:t>于第2声道，若有其他文字解说记录于第3声道(如录音设备无第3声道,则录于第2声道)。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（4）声音和画面要求同步，</w:t>
      </w:r>
      <w:proofErr w:type="gramStart"/>
      <w:r>
        <w:rPr>
          <w:rFonts w:ascii="仿宋_GB2312" w:hint="eastAsia"/>
          <w:szCs w:val="32"/>
        </w:rPr>
        <w:t>无交流</w:t>
      </w:r>
      <w:proofErr w:type="gramEnd"/>
      <w:r>
        <w:rPr>
          <w:rFonts w:ascii="仿宋_GB2312" w:hint="eastAsia"/>
          <w:szCs w:val="32"/>
        </w:rPr>
        <w:t>声或其他杂音等缺陷。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（5）伴音清晰、饱满、圆润，无失真、噪声杂音干扰、音量忽大忽小现象。解说声与现场声无明显比例失调，解说声与背景音乐无明显比例失调。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3.视频压缩格式及技术参数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（1）视频压缩采用H.264/AVC(MPEG-4 Part10)编码、</w:t>
      </w:r>
      <w:r>
        <w:rPr>
          <w:rFonts w:ascii="仿宋_GB2312" w:hint="eastAsia"/>
          <w:szCs w:val="32"/>
        </w:rPr>
        <w:lastRenderedPageBreak/>
        <w:t>使用二次编码、不包含字幕的MP4格式。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（2）视频码流率：动态码流的最低码率不得低于1024Kb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（3）视频分辨率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前期采用高清16:9拍摄，请设定为1280×720或1920×1080。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（4）视频画幅宽高比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视频画幅宽高比为16:9，分辨率设定为1280×720或1920×1080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（5）</w:t>
      </w:r>
      <w:proofErr w:type="gramStart"/>
      <w:r>
        <w:rPr>
          <w:rFonts w:ascii="仿宋_GB2312" w:hint="eastAsia"/>
          <w:szCs w:val="32"/>
        </w:rPr>
        <w:t>视频帧率为</w:t>
      </w:r>
      <w:proofErr w:type="gramEnd"/>
      <w:r>
        <w:rPr>
          <w:rFonts w:ascii="仿宋_GB2312" w:hint="eastAsia"/>
          <w:szCs w:val="32"/>
        </w:rPr>
        <w:t>25帧/秒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（6）扫描方式采用逐行扫描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4.音频压缩格式及技术参数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（1）音频压缩采用AAC(MPEG4 Part3)格式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（2）采样率48KHz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（3）音频码流率128Kbps(恒定)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（4）必须是双声道，</w:t>
      </w:r>
      <w:proofErr w:type="gramStart"/>
      <w:r>
        <w:rPr>
          <w:rFonts w:ascii="仿宋_GB2312" w:hint="eastAsia"/>
          <w:szCs w:val="32"/>
        </w:rPr>
        <w:t>必须做混音</w:t>
      </w:r>
      <w:proofErr w:type="gramEnd"/>
      <w:r>
        <w:rPr>
          <w:rFonts w:ascii="仿宋_GB2312" w:hint="eastAsia"/>
          <w:szCs w:val="32"/>
        </w:rPr>
        <w:t>处理。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5.封装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视频采用MP4封装，单个视频文件小于200MB。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字幕文件采用SRT格式，中英文字幕需分成两个SRT文件。</w:t>
      </w:r>
    </w:p>
    <w:p w:rsidR="009A6C34" w:rsidRDefault="009A6C34" w:rsidP="009A6C34">
      <w:pPr>
        <w:spacing w:line="520" w:lineRule="exact"/>
        <w:ind w:firstLineChars="200" w:firstLine="640"/>
        <w:rPr>
          <w:rFonts w:ascii="黑体" w:eastAsia="黑体" w:hAnsi="黑体" w:hint="eastAsia"/>
          <w:szCs w:val="32"/>
        </w:rPr>
      </w:pPr>
      <w:r>
        <w:rPr>
          <w:rFonts w:ascii="黑体" w:eastAsia="黑体" w:hAnsi="黑体" w:hint="eastAsia"/>
          <w:szCs w:val="32"/>
        </w:rPr>
        <w:t>五、演示文稿（PPT）制作规范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1.制作原则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（1）演示文稿（PPT）内容丰富，可集文字、图形、图像、声音以及视频等多种媒体元素于一体。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（2）页面设置要求符合高清格式比例，幻灯片大小为“全屏显示16：9”。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（3）整体效果应风格统一、色彩协调、美观大方。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lastRenderedPageBreak/>
        <w:t>2.字体与字号</w:t>
      </w:r>
    </w:p>
    <w:p w:rsidR="009A6C34" w:rsidRDefault="009A6C34" w:rsidP="009A6C34">
      <w:pPr>
        <w:spacing w:line="52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字体与字号参照下表：</w:t>
      </w:r>
    </w:p>
    <w:tbl>
      <w:tblPr>
        <w:tblpPr w:leftFromText="180" w:rightFromText="180" w:vertAnchor="text" w:horzAnchor="margin" w:tblpXSpec="center" w:tblpY="2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1905"/>
        <w:gridCol w:w="1395"/>
        <w:gridCol w:w="1550"/>
        <w:gridCol w:w="1860"/>
        <w:gridCol w:w="1240"/>
      </w:tblGrid>
      <w:tr w:rsidR="009A6C34" w:rsidTr="009A6C34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类型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大标题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主讲信息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一级标题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正文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字幕</w:t>
            </w:r>
          </w:p>
        </w:tc>
      </w:tr>
      <w:tr w:rsidR="009A6C34" w:rsidTr="009A6C34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字体</w:t>
            </w:r>
          </w:p>
        </w:tc>
        <w:tc>
          <w:tcPr>
            <w:tcW w:w="7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自定，原则以黑体、宋体、</w:t>
            </w:r>
            <w:proofErr w:type="gramStart"/>
            <w:r>
              <w:rPr>
                <w:rFonts w:ascii="宋体" w:hAnsi="宋体" w:hint="eastAsia"/>
                <w:sz w:val="24"/>
              </w:rPr>
              <w:t>仿宋等</w:t>
            </w:r>
            <w:proofErr w:type="gramEnd"/>
            <w:r>
              <w:rPr>
                <w:rFonts w:ascii="宋体" w:hAnsi="宋体" w:hint="eastAsia"/>
                <w:sz w:val="24"/>
              </w:rPr>
              <w:t>为主</w:t>
            </w:r>
          </w:p>
        </w:tc>
      </w:tr>
      <w:tr w:rsidR="009A6C34" w:rsidTr="009A6C34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字号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</w:t>
            </w:r>
            <w:r>
              <w:rPr>
                <w:rFonts w:ascii="宋体" w:hAnsi="宋体" w:hint="eastAsia"/>
                <w:sz w:val="24"/>
              </w:rPr>
              <w:t>～</w:t>
            </w:r>
            <w:r>
              <w:rPr>
                <w:rFonts w:ascii="宋体" w:hAnsi="宋体" w:hint="eastAsia"/>
                <w:sz w:val="24"/>
              </w:rPr>
              <w:t>70</w:t>
            </w:r>
            <w:r>
              <w:rPr>
                <w:rFonts w:ascii="宋体" w:hAnsi="宋体" w:hint="eastAsia"/>
                <w:sz w:val="24"/>
              </w:rPr>
              <w:t>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36</w:t>
            </w:r>
            <w:r>
              <w:rPr>
                <w:rFonts w:ascii="宋体" w:hAnsi="宋体" w:hint="eastAsia"/>
                <w:sz w:val="24"/>
              </w:rPr>
              <w:t>～</w:t>
            </w:r>
            <w:r>
              <w:rPr>
                <w:rFonts w:ascii="宋体" w:hAnsi="宋体" w:hint="eastAsia"/>
                <w:sz w:val="24"/>
              </w:rPr>
              <w:t>40</w:t>
            </w:r>
            <w:r>
              <w:rPr>
                <w:rFonts w:ascii="宋体" w:hAnsi="宋体" w:hint="eastAsia"/>
                <w:sz w:val="24"/>
              </w:rPr>
              <w:t>磅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36</w:t>
            </w:r>
            <w:r>
              <w:rPr>
                <w:rFonts w:ascii="宋体" w:hAnsi="宋体" w:hint="eastAsia"/>
                <w:sz w:val="24"/>
              </w:rPr>
              <w:t>～</w:t>
            </w:r>
            <w:r>
              <w:rPr>
                <w:rFonts w:ascii="宋体" w:hAnsi="宋体" w:hint="eastAsia"/>
                <w:sz w:val="24"/>
              </w:rPr>
              <w:t>40</w:t>
            </w:r>
            <w:r>
              <w:rPr>
                <w:rFonts w:ascii="宋体" w:hAnsi="宋体" w:hint="eastAsia"/>
                <w:sz w:val="24"/>
              </w:rPr>
              <w:t>磅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24</w:t>
            </w:r>
            <w:r>
              <w:rPr>
                <w:rFonts w:ascii="宋体" w:hAnsi="宋体" w:hint="eastAsia"/>
                <w:sz w:val="24"/>
              </w:rPr>
              <w:t>～</w:t>
            </w:r>
            <w:r>
              <w:rPr>
                <w:rFonts w:ascii="宋体" w:hAnsi="宋体" w:hint="eastAsia"/>
                <w:sz w:val="24"/>
              </w:rPr>
              <w:t>32</w:t>
            </w:r>
            <w:r>
              <w:rPr>
                <w:rFonts w:ascii="宋体" w:hAnsi="宋体" w:hint="eastAsia"/>
                <w:sz w:val="24"/>
              </w:rPr>
              <w:t>磅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32</w:t>
            </w:r>
            <w:r>
              <w:rPr>
                <w:rFonts w:ascii="宋体" w:hAnsi="宋体" w:hint="eastAsia"/>
                <w:sz w:val="24"/>
              </w:rPr>
              <w:t>磅</w:t>
            </w:r>
          </w:p>
        </w:tc>
      </w:tr>
      <w:tr w:rsidR="009A6C34" w:rsidTr="009A6C34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应用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上下左右居中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左右居中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左右居中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左对齐或居中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C34" w:rsidRDefault="009A6C34">
            <w:pPr>
              <w:snapToGrid w:val="0"/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左右居中</w:t>
            </w:r>
          </w:p>
        </w:tc>
      </w:tr>
    </w:tbl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3.版心与版式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每页四周留出空白，应避免内容顶到页面边缘，边界安全区域分别为左、右130像素内，上、下90像素内。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4.背景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（1）背景色以简洁适中饱和度为主（颜色保持在</w:t>
      </w:r>
      <w:proofErr w:type="gramStart"/>
      <w:r>
        <w:rPr>
          <w:rFonts w:ascii="仿宋_GB2312" w:hint="eastAsia"/>
          <w:szCs w:val="32"/>
        </w:rPr>
        <w:t>一</w:t>
      </w:r>
      <w:proofErr w:type="gramEnd"/>
      <w:r>
        <w:rPr>
          <w:rFonts w:ascii="仿宋_GB2312" w:hint="eastAsia"/>
          <w:szCs w:val="32"/>
        </w:rPr>
        <w:t>至两种色系内）；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（2）背景和场景不宜变化过多；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（3）文字、图形等内容应与背景对比醒目。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5.色调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（1）色彩的选配应与课程科目相吻合；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（2）每一短视频或一系列短视频在配色上应体现出系统性，可选一种主色调再加上</w:t>
      </w:r>
      <w:proofErr w:type="gramStart"/>
      <w:r>
        <w:rPr>
          <w:rFonts w:ascii="仿宋_GB2312" w:hint="eastAsia"/>
          <w:szCs w:val="32"/>
        </w:rPr>
        <w:t>一</w:t>
      </w:r>
      <w:proofErr w:type="gramEnd"/>
      <w:r>
        <w:rPr>
          <w:rFonts w:ascii="仿宋_GB2312" w:hint="eastAsia"/>
          <w:szCs w:val="32"/>
        </w:rPr>
        <w:t>至两种辅助色进行匹配；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（3）同一屏</w:t>
      </w:r>
      <w:proofErr w:type="gramStart"/>
      <w:r>
        <w:rPr>
          <w:rFonts w:ascii="仿宋_GB2312" w:hint="eastAsia"/>
          <w:szCs w:val="32"/>
        </w:rPr>
        <w:t>里文字</w:t>
      </w:r>
      <w:proofErr w:type="gramEnd"/>
      <w:r>
        <w:rPr>
          <w:rFonts w:ascii="仿宋_GB2312" w:hint="eastAsia"/>
          <w:szCs w:val="32"/>
        </w:rPr>
        <w:t>不宜超出三种颜色。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6.字距与行距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（1）标题：在文字少的情形下，字距放宽一倍体现舒展性；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（2）正文：行距使用1行或1.5行，便于阅读。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7.配图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（1）图像应清晰并能反映出内容主题思想，分辨率应上72dpi以上；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（2）图片不可加长或压窄，防止变形；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（3）图形使用应通俗易懂，便于理解。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lastRenderedPageBreak/>
        <w:t>8.修饰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（1）细线条的运用比粗线条更显精致；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（2）扁平式的装饰更接近时代审美；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（3）有趣味的装饰通常更能吸引人。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9.版权来源</w:t>
      </w:r>
    </w:p>
    <w:p w:rsidR="009A6C34" w:rsidRDefault="009A6C34" w:rsidP="009A6C34">
      <w:pPr>
        <w:spacing w:line="48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素材选用注意版权，涉及版权问题</w:t>
      </w:r>
      <w:proofErr w:type="gramStart"/>
      <w:r>
        <w:rPr>
          <w:rFonts w:ascii="仿宋_GB2312" w:hint="eastAsia"/>
          <w:szCs w:val="32"/>
        </w:rPr>
        <w:t>须加入</w:t>
      </w:r>
      <w:proofErr w:type="gramEnd"/>
      <w:r>
        <w:rPr>
          <w:rFonts w:ascii="仿宋_GB2312" w:hint="eastAsia"/>
          <w:szCs w:val="32"/>
        </w:rPr>
        <w:t>“版权来源”信息。</w:t>
      </w:r>
    </w:p>
    <w:p w:rsidR="007E4884" w:rsidRPr="009A6C34" w:rsidRDefault="007E4884">
      <w:bookmarkStart w:id="0" w:name="_GoBack"/>
      <w:bookmarkEnd w:id="0"/>
    </w:p>
    <w:sectPr w:rsidR="007E4884" w:rsidRPr="009A6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34"/>
    <w:rsid w:val="007E4884"/>
    <w:rsid w:val="009A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C34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C34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679</Words>
  <Characters>3873</Characters>
  <Application>Microsoft Office Word</Application>
  <DocSecurity>0</DocSecurity>
  <Lines>32</Lines>
  <Paragraphs>9</Paragraphs>
  <ScaleCrop>false</ScaleCrop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2019-05-23T07:34:00Z</dcterms:created>
  <dcterms:modified xsi:type="dcterms:W3CDTF">2019-05-23T07:35:00Z</dcterms:modified>
</cp:coreProperties>
</file>