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560" w:lineRule="exact"/>
        <w:jc w:val="center"/>
        <w:rPr>
          <w:rFonts w:hint="default" w:ascii="Times New Roman" w:hAnsi="Times New Roman" w:eastAsia="仿宋" w:cs="Times New Roman"/>
          <w:b/>
          <w:bCs/>
          <w:color w:val="auto"/>
          <w:sz w:val="36"/>
          <w:szCs w:val="36"/>
        </w:rPr>
      </w:pPr>
      <w:bookmarkStart w:id="96" w:name="_GoBack"/>
      <w:bookmarkEnd w:id="96"/>
      <w:r>
        <w:rPr>
          <w:rFonts w:hint="default" w:ascii="Times New Roman" w:hAnsi="Times New Roman" w:eastAsia="仿宋" w:cs="Times New Roman"/>
          <w:b/>
          <w:bCs/>
          <w:color w:val="auto"/>
          <w:sz w:val="36"/>
          <w:szCs w:val="36"/>
        </w:rPr>
        <w:t xml:space="preserve"> </w:t>
      </w:r>
    </w:p>
    <w:p>
      <w:pPr>
        <w:pageBreakBefore w:val="0"/>
        <w:kinsoku/>
        <w:wordWrap/>
        <w:overflowPunct/>
        <w:topLinePunct w:val="0"/>
        <w:autoSpaceDE/>
        <w:autoSpaceDN/>
        <w:bidi w:val="0"/>
        <w:spacing w:line="560" w:lineRule="exact"/>
        <w:jc w:val="center"/>
        <w:rPr>
          <w:rFonts w:hint="default" w:ascii="Times New Roman" w:hAnsi="Times New Roman" w:eastAsia="仿宋" w:cs="Times New Roman"/>
          <w:b/>
          <w:bCs/>
          <w:color w:val="auto"/>
          <w:sz w:val="36"/>
          <w:szCs w:val="36"/>
        </w:rPr>
      </w:pPr>
    </w:p>
    <w:p>
      <w:pPr>
        <w:pageBreakBefore w:val="0"/>
        <w:kinsoku/>
        <w:wordWrap/>
        <w:overflowPunct/>
        <w:topLinePunct w:val="0"/>
        <w:autoSpaceDE/>
        <w:autoSpaceDN/>
        <w:bidi w:val="0"/>
        <w:spacing w:line="560" w:lineRule="exact"/>
        <w:jc w:val="center"/>
        <w:rPr>
          <w:rFonts w:hint="default" w:ascii="Times New Roman" w:hAnsi="Times New Roman" w:eastAsia="仿宋" w:cs="Times New Roman"/>
          <w:b/>
          <w:bCs/>
          <w:color w:val="auto"/>
          <w:sz w:val="36"/>
          <w:szCs w:val="36"/>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color w:val="auto"/>
          <w:sz w:val="72"/>
          <w:szCs w:val="72"/>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color w:val="auto"/>
          <w:sz w:val="48"/>
          <w:szCs w:val="48"/>
        </w:rPr>
      </w:pPr>
      <w:r>
        <w:rPr>
          <w:rFonts w:hint="default" w:ascii="Times New Roman" w:hAnsi="Times New Roman" w:cs="Times New Roman"/>
          <w:b/>
          <w:color w:val="auto"/>
          <w:sz w:val="48"/>
          <w:szCs w:val="48"/>
        </w:rPr>
        <w:t>武昌首义学院</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color w:val="auto"/>
          <w:sz w:val="48"/>
          <w:szCs w:val="48"/>
        </w:rPr>
      </w:pPr>
      <w:r>
        <w:rPr>
          <w:rFonts w:hint="default" w:ascii="Times New Roman" w:hAnsi="Times New Roman" w:cs="Times New Roman"/>
          <w:b/>
          <w:color w:val="auto"/>
          <w:sz w:val="48"/>
          <w:szCs w:val="48"/>
        </w:rPr>
        <w:t>“十四五”事业发展规划</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color w:val="auto"/>
          <w:sz w:val="40"/>
          <w:szCs w:val="40"/>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color w:val="auto"/>
          <w:sz w:val="40"/>
          <w:szCs w:val="40"/>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color w:val="auto"/>
          <w:kern w:val="0"/>
          <w:sz w:val="32"/>
          <w:szCs w:val="32"/>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szCs w:val="24"/>
        </w:rPr>
      </w:pP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Cs/>
          <w:color w:val="auto"/>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cs="Times New Roman"/>
          <w:bCs/>
          <w:color w:val="auto"/>
          <w:szCs w:val="24"/>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bCs/>
          <w:color w:val="auto"/>
          <w:kern w:val="0"/>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 w:cs="Times New Roman"/>
          <w:b/>
          <w:bCs/>
          <w:color w:val="auto"/>
          <w:sz w:val="36"/>
          <w:szCs w:val="36"/>
        </w:rPr>
      </w:pPr>
      <w:r>
        <w:rPr>
          <w:rFonts w:hint="default" w:ascii="Times New Roman" w:hAnsi="Times New Roman" w:eastAsia="微软雅黑" w:cs="Times New Roman"/>
          <w:b/>
          <w:bCs/>
          <w:color w:val="auto"/>
          <w:sz w:val="36"/>
          <w:szCs w:val="36"/>
        </w:rPr>
        <w:t>二O二</w:t>
      </w:r>
      <w:r>
        <w:rPr>
          <w:rFonts w:hint="eastAsia" w:ascii="Times New Roman" w:hAnsi="Times New Roman" w:eastAsia="微软雅黑" w:cs="Times New Roman"/>
          <w:b/>
          <w:bCs/>
          <w:color w:val="auto"/>
          <w:sz w:val="36"/>
          <w:szCs w:val="36"/>
          <w:lang w:val="en-US" w:eastAsia="zh-CN"/>
        </w:rPr>
        <w:t>二</w:t>
      </w:r>
      <w:r>
        <w:rPr>
          <w:rFonts w:hint="default" w:ascii="Times New Roman" w:hAnsi="Times New Roman" w:eastAsia="微软雅黑" w:cs="Times New Roman"/>
          <w:b/>
          <w:bCs/>
          <w:color w:val="auto"/>
          <w:sz w:val="36"/>
          <w:szCs w:val="36"/>
        </w:rPr>
        <w:t>年</w:t>
      </w:r>
      <w:r>
        <w:rPr>
          <w:rFonts w:hint="eastAsia" w:ascii="Times New Roman" w:hAnsi="Times New Roman" w:eastAsia="微软雅黑" w:cs="Times New Roman"/>
          <w:b/>
          <w:bCs/>
          <w:color w:val="auto"/>
          <w:sz w:val="36"/>
          <w:szCs w:val="36"/>
          <w:lang w:val="en-US" w:eastAsia="zh-CN"/>
        </w:rPr>
        <w:t>一</w:t>
      </w:r>
      <w:r>
        <w:rPr>
          <w:rFonts w:hint="default" w:ascii="Times New Roman" w:hAnsi="Times New Roman" w:eastAsia="微软雅黑" w:cs="Times New Roman"/>
          <w:b/>
          <w:bCs/>
          <w:color w:val="auto"/>
          <w:sz w:val="36"/>
          <w:szCs w:val="36"/>
        </w:rPr>
        <w:t>月</w:t>
      </w:r>
      <w:r>
        <w:rPr>
          <w:rFonts w:hint="default" w:ascii="Times New Roman" w:hAnsi="Times New Roman" w:eastAsia="仿宋" w:cs="Times New Roman"/>
          <w:b/>
          <w:bCs/>
          <w:color w:val="auto"/>
          <w:sz w:val="36"/>
          <w:szCs w:val="36"/>
        </w:rPr>
        <w:br w:type="page"/>
      </w:r>
    </w:p>
    <w:p>
      <w:pPr>
        <w:pStyle w:val="29"/>
        <w:pageBreakBefore w:val="0"/>
        <w:kinsoku/>
        <w:wordWrap/>
        <w:overflowPunct/>
        <w:topLinePunct w:val="0"/>
        <w:autoSpaceDE/>
        <w:autoSpaceDN/>
        <w:bidi w:val="0"/>
        <w:spacing w:before="0" w:beforeLines="0" w:after="0" w:afterLines="0" w:line="560" w:lineRule="exact"/>
        <w:jc w:val="center"/>
        <w:rPr>
          <w:rFonts w:hint="default" w:ascii="Times New Roman" w:hAnsi="Times New Roman" w:eastAsia="黑体" w:cs="Times New Roman"/>
          <w:b/>
          <w:bCs/>
          <w:color w:val="auto"/>
          <w:sz w:val="36"/>
          <w:szCs w:val="36"/>
          <w:lang w:val="zh-CN"/>
        </w:rPr>
      </w:pPr>
      <w:r>
        <w:rPr>
          <w:rFonts w:hint="default" w:ascii="Times New Roman" w:hAnsi="Times New Roman" w:eastAsia="黑体" w:cs="Times New Roman"/>
          <w:b/>
          <w:bCs/>
          <w:color w:val="auto"/>
          <w:sz w:val="36"/>
          <w:szCs w:val="36"/>
          <w:lang w:val="zh-CN"/>
        </w:rPr>
        <w:t>目</w:t>
      </w:r>
      <w:r>
        <w:rPr>
          <w:rFonts w:hint="default" w:ascii="Times New Roman" w:hAnsi="Times New Roman" w:eastAsia="黑体" w:cs="Times New Roman"/>
          <w:b/>
          <w:bCs/>
          <w:color w:val="auto"/>
          <w:sz w:val="36"/>
          <w:szCs w:val="36"/>
        </w:rPr>
        <w:t xml:space="preserve">  </w:t>
      </w:r>
      <w:r>
        <w:rPr>
          <w:rFonts w:hint="default" w:ascii="Times New Roman" w:hAnsi="Times New Roman" w:eastAsia="黑体" w:cs="Times New Roman"/>
          <w:b/>
          <w:bCs/>
          <w:color w:val="auto"/>
          <w:sz w:val="36"/>
          <w:szCs w:val="36"/>
          <w:lang w:val="zh-CN"/>
        </w:rPr>
        <w:t>录</w:t>
      </w:r>
    </w:p>
    <w:p>
      <w:pPr>
        <w:pStyle w:val="12"/>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b/>
          <w:bCs/>
          <w:color w:val="auto"/>
          <w:sz w:val="22"/>
          <w:szCs w:val="24"/>
        </w:rPr>
      </w:pPr>
      <w:r>
        <w:rPr>
          <w:rFonts w:hint="default" w:ascii="Times New Roman" w:hAnsi="Times New Roman" w:eastAsia="仿宋" w:cs="Times New Roman"/>
          <w:color w:val="auto"/>
          <w:sz w:val="24"/>
          <w:szCs w:val="24"/>
        </w:rPr>
        <w:fldChar w:fldCharType="begin"/>
      </w:r>
      <w:r>
        <w:rPr>
          <w:rFonts w:hint="default" w:ascii="Times New Roman" w:hAnsi="Times New Roman" w:eastAsia="仿宋" w:cs="Times New Roman"/>
          <w:color w:val="auto"/>
          <w:sz w:val="24"/>
          <w:szCs w:val="24"/>
        </w:rPr>
        <w:instrText xml:space="preserve"> TOC \o "1-3" \h \z \u </w:instrText>
      </w:r>
      <w:r>
        <w:rPr>
          <w:rFonts w:hint="default" w:ascii="Times New Roman" w:hAnsi="Times New Roman" w:eastAsia="仿宋" w:cs="Times New Roman"/>
          <w:color w:val="auto"/>
          <w:sz w:val="24"/>
          <w:szCs w:val="24"/>
        </w:rPr>
        <w:fldChar w:fldCharType="separate"/>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"_Toc2072795181" </w:instrText>
      </w:r>
      <w:r>
        <w:rPr>
          <w:rFonts w:hint="default" w:ascii="Times New Roman" w:hAnsi="Times New Roman" w:cs="Times New Roman"/>
          <w:color w:val="auto"/>
        </w:rPr>
        <w:fldChar w:fldCharType="separate"/>
      </w:r>
      <w:r>
        <w:rPr>
          <w:rFonts w:hint="default" w:ascii="Times New Roman" w:hAnsi="Times New Roman" w:eastAsia="仿宋" w:cs="Times New Roman"/>
          <w:b/>
          <w:bCs/>
          <w:color w:val="auto"/>
          <w:sz w:val="22"/>
          <w:szCs w:val="24"/>
        </w:rPr>
        <w:t>一、</w:t>
      </w:r>
      <w:r>
        <w:rPr>
          <w:rFonts w:hint="default" w:ascii="Times New Roman" w:hAnsi="Times New Roman" w:eastAsia="仿宋" w:cs="Times New Roman"/>
          <w:b/>
          <w:bCs/>
          <w:color w:val="auto"/>
          <w:sz w:val="22"/>
          <w:szCs w:val="24"/>
          <w:lang w:eastAsia="zh-Hans"/>
        </w:rPr>
        <w:t>发展基础与形势分析</w:t>
      </w:r>
      <w:r>
        <w:rPr>
          <w:rFonts w:hint="default" w:ascii="Times New Roman" w:hAnsi="Times New Roman" w:eastAsia="仿宋" w:cs="Times New Roman"/>
          <w:b/>
          <w:bCs/>
          <w:color w:val="auto"/>
          <w:sz w:val="22"/>
          <w:szCs w:val="24"/>
        </w:rPr>
        <w:tab/>
      </w:r>
      <w:r>
        <w:rPr>
          <w:rFonts w:hint="default" w:ascii="Times New Roman" w:hAnsi="Times New Roman" w:eastAsia="仿宋" w:cs="Times New Roman"/>
          <w:b/>
          <w:bCs/>
          <w:color w:val="auto"/>
          <w:sz w:val="22"/>
          <w:szCs w:val="24"/>
        </w:rPr>
        <w:fldChar w:fldCharType="begin"/>
      </w:r>
      <w:r>
        <w:rPr>
          <w:rFonts w:hint="default" w:ascii="Times New Roman" w:hAnsi="Times New Roman" w:eastAsia="仿宋" w:cs="Times New Roman"/>
          <w:b/>
          <w:bCs/>
          <w:color w:val="auto"/>
          <w:sz w:val="22"/>
          <w:szCs w:val="24"/>
        </w:rPr>
        <w:instrText xml:space="preserve"> PAGEREF _Toc2072795181 </w:instrText>
      </w:r>
      <w:r>
        <w:rPr>
          <w:rFonts w:hint="default" w:ascii="Times New Roman" w:hAnsi="Times New Roman" w:eastAsia="仿宋" w:cs="Times New Roman"/>
          <w:b/>
          <w:bCs/>
          <w:color w:val="auto"/>
          <w:sz w:val="22"/>
          <w:szCs w:val="24"/>
        </w:rPr>
        <w:fldChar w:fldCharType="separate"/>
      </w:r>
      <w:r>
        <w:rPr>
          <w:rFonts w:hint="default" w:ascii="Times New Roman" w:hAnsi="Times New Roman" w:eastAsia="仿宋" w:cs="Times New Roman"/>
          <w:b/>
          <w:bCs/>
          <w:color w:val="auto"/>
          <w:sz w:val="22"/>
          <w:szCs w:val="24"/>
        </w:rPr>
        <w:t>1</w:t>
      </w:r>
      <w:r>
        <w:rPr>
          <w:rFonts w:hint="default" w:ascii="Times New Roman" w:hAnsi="Times New Roman" w:eastAsia="仿宋" w:cs="Times New Roman"/>
          <w:b/>
          <w:bCs/>
          <w:color w:val="auto"/>
          <w:sz w:val="22"/>
          <w:szCs w:val="24"/>
        </w:rPr>
        <w:fldChar w:fldCharType="end"/>
      </w:r>
      <w:r>
        <w:rPr>
          <w:rFonts w:hint="default" w:ascii="Times New Roman" w:hAnsi="Times New Roman" w:eastAsia="仿宋" w:cs="Times New Roman"/>
          <w:b/>
          <w:bCs/>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"_Toc988885433" </w:instrText>
      </w:r>
      <w:r>
        <w:rPr>
          <w:rFonts w:hint="default" w:ascii="Times New Roman" w:hAnsi="Times New Roman" w:cs="Times New Roman"/>
          <w:color w:val="auto"/>
        </w:rPr>
        <w:fldChar w:fldCharType="separate"/>
      </w:r>
      <w:r>
        <w:rPr>
          <w:rFonts w:hint="default" w:ascii="Times New Roman" w:hAnsi="Times New Roman" w:eastAsia="仿宋" w:cs="Times New Roman"/>
          <w:bCs/>
          <w:color w:val="auto"/>
          <w:sz w:val="22"/>
          <w:szCs w:val="36"/>
        </w:rPr>
        <w:t>（一）</w:t>
      </w:r>
      <w:r>
        <w:rPr>
          <w:rFonts w:hint="default" w:ascii="Times New Roman" w:hAnsi="Times New Roman" w:eastAsia="仿宋" w:cs="Times New Roman"/>
          <w:bCs/>
          <w:color w:val="auto"/>
          <w:sz w:val="22"/>
          <w:szCs w:val="36"/>
          <w:lang w:eastAsia="zh-Hans"/>
        </w:rPr>
        <w:t>主要成绩</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_Toc988885433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1</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"_Toc821528298" </w:instrText>
      </w:r>
      <w:r>
        <w:rPr>
          <w:rFonts w:hint="default" w:ascii="Times New Roman" w:hAnsi="Times New Roman" w:cs="Times New Roman"/>
          <w:color w:val="auto"/>
        </w:rPr>
        <w:fldChar w:fldCharType="separate"/>
      </w:r>
      <w:r>
        <w:rPr>
          <w:rFonts w:hint="default" w:ascii="Times New Roman" w:hAnsi="Times New Roman" w:eastAsia="仿宋" w:cs="Times New Roman"/>
          <w:bCs/>
          <w:color w:val="auto"/>
          <w:sz w:val="22"/>
          <w:szCs w:val="36"/>
          <w:lang w:eastAsia="zh-Hans"/>
        </w:rPr>
        <w:t>（二）面临形势</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_Toc821528298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6</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"_Toc1253737923" </w:instrText>
      </w:r>
      <w:r>
        <w:rPr>
          <w:rFonts w:hint="default" w:ascii="Times New Roman" w:hAnsi="Times New Roman" w:cs="Times New Roman"/>
          <w:color w:val="auto"/>
        </w:rPr>
        <w:fldChar w:fldCharType="separate"/>
      </w:r>
      <w:r>
        <w:rPr>
          <w:rFonts w:hint="default" w:ascii="Times New Roman" w:hAnsi="Times New Roman" w:eastAsia="仿宋" w:cs="Times New Roman"/>
          <w:bCs/>
          <w:color w:val="auto"/>
          <w:sz w:val="22"/>
          <w:szCs w:val="36"/>
          <w:lang w:eastAsia="zh-Hans"/>
        </w:rPr>
        <w:t>（三）存在不足</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_Toc1253737923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7</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2"/>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"_Toc463727497" </w:instrText>
      </w:r>
      <w:r>
        <w:rPr>
          <w:rFonts w:hint="default" w:ascii="Times New Roman" w:hAnsi="Times New Roman" w:cs="Times New Roman"/>
          <w:color w:val="auto"/>
        </w:rPr>
        <w:fldChar w:fldCharType="separate"/>
      </w:r>
      <w:r>
        <w:rPr>
          <w:rFonts w:hint="default" w:ascii="Times New Roman" w:hAnsi="Times New Roman" w:eastAsia="仿宋" w:cs="Times New Roman"/>
          <w:b/>
          <w:bCs/>
          <w:color w:val="auto"/>
          <w:sz w:val="22"/>
          <w:szCs w:val="24"/>
          <w:lang w:eastAsia="zh-Hans"/>
        </w:rPr>
        <w:t>二</w:t>
      </w:r>
      <w:r>
        <w:rPr>
          <w:rFonts w:hint="default" w:ascii="Times New Roman" w:hAnsi="Times New Roman" w:eastAsia="仿宋" w:cs="Times New Roman"/>
          <w:b/>
          <w:bCs/>
          <w:color w:val="auto"/>
          <w:sz w:val="22"/>
          <w:szCs w:val="24"/>
        </w:rPr>
        <w:t>、</w:t>
      </w:r>
      <w:r>
        <w:rPr>
          <w:rFonts w:hint="default" w:ascii="Times New Roman" w:hAnsi="Times New Roman" w:eastAsia="仿宋" w:cs="Times New Roman"/>
          <w:b/>
          <w:bCs/>
          <w:color w:val="auto"/>
          <w:sz w:val="22"/>
          <w:szCs w:val="24"/>
          <w:lang w:eastAsia="zh-Hans"/>
        </w:rPr>
        <w:t>指导思想与目标定位</w:t>
      </w:r>
      <w:r>
        <w:rPr>
          <w:rFonts w:hint="default" w:ascii="Times New Roman" w:hAnsi="Times New Roman" w:eastAsia="仿宋" w:cs="Times New Roman"/>
          <w:b/>
          <w:bCs/>
          <w:color w:val="auto"/>
          <w:sz w:val="22"/>
          <w:szCs w:val="24"/>
        </w:rPr>
        <w:tab/>
      </w:r>
      <w:r>
        <w:rPr>
          <w:rFonts w:hint="default" w:ascii="Times New Roman" w:hAnsi="Times New Roman" w:eastAsia="仿宋" w:cs="Times New Roman"/>
          <w:b/>
          <w:bCs/>
          <w:color w:val="auto"/>
          <w:sz w:val="22"/>
          <w:szCs w:val="24"/>
        </w:rPr>
        <w:fldChar w:fldCharType="begin"/>
      </w:r>
      <w:r>
        <w:rPr>
          <w:rFonts w:hint="default" w:ascii="Times New Roman" w:hAnsi="Times New Roman" w:eastAsia="仿宋" w:cs="Times New Roman"/>
          <w:b/>
          <w:bCs/>
          <w:color w:val="auto"/>
          <w:sz w:val="22"/>
          <w:szCs w:val="24"/>
        </w:rPr>
        <w:instrText xml:space="preserve"> PAGEREF _Toc463727497 </w:instrText>
      </w:r>
      <w:r>
        <w:rPr>
          <w:rFonts w:hint="default" w:ascii="Times New Roman" w:hAnsi="Times New Roman" w:eastAsia="仿宋" w:cs="Times New Roman"/>
          <w:b/>
          <w:bCs/>
          <w:color w:val="auto"/>
          <w:sz w:val="22"/>
          <w:szCs w:val="24"/>
        </w:rPr>
        <w:fldChar w:fldCharType="separate"/>
      </w:r>
      <w:r>
        <w:rPr>
          <w:rFonts w:hint="default" w:ascii="Times New Roman" w:hAnsi="Times New Roman" w:eastAsia="仿宋" w:cs="Times New Roman"/>
          <w:b/>
          <w:bCs/>
          <w:color w:val="auto"/>
          <w:sz w:val="22"/>
          <w:szCs w:val="24"/>
        </w:rPr>
        <w:t>8</w:t>
      </w:r>
      <w:r>
        <w:rPr>
          <w:rFonts w:hint="default" w:ascii="Times New Roman" w:hAnsi="Times New Roman" w:eastAsia="仿宋" w:cs="Times New Roman"/>
          <w:b/>
          <w:bCs/>
          <w:color w:val="auto"/>
          <w:sz w:val="22"/>
          <w:szCs w:val="24"/>
        </w:rPr>
        <w:fldChar w:fldCharType="end"/>
      </w:r>
      <w:r>
        <w:rPr>
          <w:rFonts w:hint="default" w:ascii="Times New Roman" w:hAnsi="Times New Roman" w:eastAsia="仿宋" w:cs="Times New Roman"/>
          <w:b/>
          <w:bCs/>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"_Toc649887116"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（一）指导思想</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_Toc649887116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8</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"_Toc550929970"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（二）发展</w:t>
      </w:r>
      <w:r>
        <w:rPr>
          <w:rFonts w:hint="default" w:ascii="Times New Roman" w:hAnsi="Times New Roman" w:eastAsia="仿宋" w:cs="Times New Roman"/>
          <w:color w:val="auto"/>
          <w:sz w:val="22"/>
          <w:szCs w:val="24"/>
          <w:lang w:eastAsia="zh-Hans"/>
        </w:rPr>
        <w:t>战略</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_Toc550929970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9</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"_Toc1678003573"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三</w:t>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发展目标</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_Toc1678003573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10</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2"/>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b/>
          <w:bCs/>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"_Toc1450799007" </w:instrText>
      </w:r>
      <w:r>
        <w:rPr>
          <w:rFonts w:hint="default" w:ascii="Times New Roman" w:hAnsi="Times New Roman" w:cs="Times New Roman"/>
          <w:color w:val="auto"/>
        </w:rPr>
        <w:fldChar w:fldCharType="separate"/>
      </w:r>
      <w:r>
        <w:rPr>
          <w:rFonts w:hint="default" w:ascii="Times New Roman" w:hAnsi="Times New Roman" w:eastAsia="仿宋" w:cs="Times New Roman"/>
          <w:b/>
          <w:bCs/>
          <w:color w:val="auto"/>
          <w:sz w:val="22"/>
          <w:szCs w:val="24"/>
          <w:lang w:eastAsia="zh-Hans"/>
        </w:rPr>
        <w:t>三</w:t>
      </w:r>
      <w:r>
        <w:rPr>
          <w:rFonts w:hint="default" w:ascii="Times New Roman" w:hAnsi="Times New Roman" w:eastAsia="仿宋" w:cs="Times New Roman"/>
          <w:b/>
          <w:bCs/>
          <w:color w:val="auto"/>
          <w:sz w:val="22"/>
          <w:szCs w:val="24"/>
        </w:rPr>
        <w:t>、</w:t>
      </w:r>
      <w:r>
        <w:rPr>
          <w:rFonts w:hint="default" w:ascii="Times New Roman" w:hAnsi="Times New Roman" w:eastAsia="仿宋" w:cs="Times New Roman"/>
          <w:b/>
          <w:bCs/>
          <w:color w:val="auto"/>
          <w:sz w:val="22"/>
          <w:szCs w:val="24"/>
          <w:lang w:eastAsia="zh-Hans"/>
        </w:rPr>
        <w:t>主要任务与举措</w:t>
      </w:r>
      <w:r>
        <w:rPr>
          <w:rFonts w:hint="default" w:ascii="Times New Roman" w:hAnsi="Times New Roman" w:eastAsia="仿宋" w:cs="Times New Roman"/>
          <w:b/>
          <w:bCs/>
          <w:color w:val="auto"/>
          <w:sz w:val="22"/>
          <w:szCs w:val="24"/>
        </w:rPr>
        <w:tab/>
      </w:r>
      <w:r>
        <w:rPr>
          <w:rFonts w:hint="default" w:ascii="Times New Roman" w:hAnsi="Times New Roman" w:eastAsia="仿宋" w:cs="Times New Roman"/>
          <w:b/>
          <w:bCs/>
          <w:color w:val="auto"/>
          <w:sz w:val="22"/>
          <w:szCs w:val="24"/>
        </w:rPr>
        <w:fldChar w:fldCharType="begin"/>
      </w:r>
      <w:r>
        <w:rPr>
          <w:rFonts w:hint="default" w:ascii="Times New Roman" w:hAnsi="Times New Roman" w:eastAsia="仿宋" w:cs="Times New Roman"/>
          <w:b/>
          <w:bCs/>
          <w:color w:val="auto"/>
          <w:sz w:val="22"/>
          <w:szCs w:val="24"/>
        </w:rPr>
        <w:instrText xml:space="preserve"> PAGEREF _Toc1450799007 </w:instrText>
      </w:r>
      <w:r>
        <w:rPr>
          <w:rFonts w:hint="default" w:ascii="Times New Roman" w:hAnsi="Times New Roman" w:eastAsia="仿宋" w:cs="Times New Roman"/>
          <w:b/>
          <w:bCs/>
          <w:color w:val="auto"/>
          <w:sz w:val="22"/>
          <w:szCs w:val="24"/>
        </w:rPr>
        <w:fldChar w:fldCharType="separate"/>
      </w:r>
      <w:r>
        <w:rPr>
          <w:rFonts w:hint="default" w:ascii="Times New Roman" w:hAnsi="Times New Roman" w:eastAsia="仿宋" w:cs="Times New Roman"/>
          <w:b/>
          <w:bCs/>
          <w:color w:val="auto"/>
          <w:sz w:val="22"/>
          <w:szCs w:val="24"/>
        </w:rPr>
        <w:t>15</w:t>
      </w:r>
      <w:r>
        <w:rPr>
          <w:rFonts w:hint="default" w:ascii="Times New Roman" w:hAnsi="Times New Roman" w:eastAsia="仿宋" w:cs="Times New Roman"/>
          <w:b/>
          <w:bCs/>
          <w:color w:val="auto"/>
          <w:sz w:val="22"/>
          <w:szCs w:val="24"/>
        </w:rPr>
        <w:fldChar w:fldCharType="end"/>
      </w:r>
      <w:r>
        <w:rPr>
          <w:rFonts w:hint="default" w:ascii="Times New Roman" w:hAnsi="Times New Roman" w:eastAsia="仿宋" w:cs="Times New Roman"/>
          <w:b/>
          <w:bCs/>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"_Toc1049582611"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一</w:t>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党建与大学治理</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_Toc1049582611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15</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"_Toc904266619"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二</w:t>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人才培养</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_Toc904266619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18</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"_Toc267295714"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三</w:t>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人才</w:t>
      </w:r>
      <w:r>
        <w:rPr>
          <w:rFonts w:hint="default" w:ascii="Times New Roman" w:hAnsi="Times New Roman" w:eastAsia="仿宋" w:cs="Times New Roman"/>
          <w:color w:val="auto"/>
          <w:sz w:val="22"/>
          <w:szCs w:val="24"/>
        </w:rPr>
        <w:t>队伍建设</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_Toc267295714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22</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"_Toc2050759321"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四</w:t>
      </w:r>
      <w:r>
        <w:rPr>
          <w:rFonts w:hint="default" w:ascii="Times New Roman" w:hAnsi="Times New Roman" w:eastAsia="仿宋" w:cs="Times New Roman"/>
          <w:color w:val="auto"/>
          <w:sz w:val="22"/>
          <w:szCs w:val="24"/>
        </w:rPr>
        <w:t>）科学研究</w:t>
      </w:r>
      <w:r>
        <w:rPr>
          <w:rFonts w:hint="default" w:ascii="Times New Roman" w:hAnsi="Times New Roman" w:eastAsia="仿宋" w:cs="Times New Roman"/>
          <w:color w:val="auto"/>
          <w:sz w:val="22"/>
          <w:szCs w:val="24"/>
          <w:lang w:eastAsia="zh-Hans"/>
        </w:rPr>
        <w:t>与学科建设</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_Toc2050759321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24</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"_Toc2146857344"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五</w:t>
      </w:r>
      <w:r>
        <w:rPr>
          <w:rFonts w:hint="default" w:ascii="Times New Roman" w:hAnsi="Times New Roman" w:eastAsia="仿宋" w:cs="Times New Roman"/>
          <w:color w:val="auto"/>
          <w:sz w:val="22"/>
          <w:szCs w:val="24"/>
        </w:rPr>
        <w:t>）校园</w:t>
      </w:r>
      <w:r>
        <w:rPr>
          <w:rFonts w:hint="default" w:ascii="Times New Roman" w:hAnsi="Times New Roman" w:eastAsia="仿宋" w:cs="Times New Roman"/>
          <w:color w:val="auto"/>
          <w:sz w:val="22"/>
          <w:szCs w:val="24"/>
          <w:lang w:eastAsia="zh-Hans"/>
        </w:rPr>
        <w:t>与基础设施</w:t>
      </w:r>
      <w:r>
        <w:rPr>
          <w:rFonts w:hint="default" w:ascii="Times New Roman" w:hAnsi="Times New Roman" w:eastAsia="仿宋" w:cs="Times New Roman"/>
          <w:color w:val="auto"/>
          <w:sz w:val="22"/>
          <w:szCs w:val="24"/>
        </w:rPr>
        <w:t>建设</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_Toc2146857344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26</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"_Toc211143714"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六</w:t>
      </w:r>
      <w:r>
        <w:rPr>
          <w:rFonts w:hint="default" w:ascii="Times New Roman" w:hAnsi="Times New Roman" w:eastAsia="仿宋" w:cs="Times New Roman"/>
          <w:color w:val="auto"/>
          <w:sz w:val="22"/>
          <w:szCs w:val="24"/>
        </w:rPr>
        <w:t>）信息化建设</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_Toc211143714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27</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2"/>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b/>
          <w:bCs/>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"_Toc1049416354" </w:instrText>
      </w:r>
      <w:r>
        <w:rPr>
          <w:rFonts w:hint="default" w:ascii="Times New Roman" w:hAnsi="Times New Roman" w:cs="Times New Roman"/>
          <w:color w:val="auto"/>
        </w:rPr>
        <w:fldChar w:fldCharType="separate"/>
      </w:r>
      <w:r>
        <w:rPr>
          <w:rFonts w:hint="default" w:ascii="Times New Roman" w:hAnsi="Times New Roman" w:eastAsia="仿宋" w:cs="Times New Roman"/>
          <w:b/>
          <w:bCs/>
          <w:color w:val="auto"/>
          <w:sz w:val="22"/>
          <w:szCs w:val="24"/>
          <w:lang w:eastAsia="zh-Hans"/>
        </w:rPr>
        <w:t>四</w:t>
      </w:r>
      <w:r>
        <w:rPr>
          <w:rFonts w:hint="default" w:ascii="Times New Roman" w:hAnsi="Times New Roman" w:eastAsia="仿宋" w:cs="Times New Roman"/>
          <w:b/>
          <w:bCs/>
          <w:color w:val="auto"/>
          <w:sz w:val="22"/>
          <w:szCs w:val="24"/>
        </w:rPr>
        <w:t>、</w:t>
      </w:r>
      <w:r>
        <w:rPr>
          <w:rFonts w:hint="default" w:ascii="Times New Roman" w:hAnsi="Times New Roman" w:eastAsia="仿宋" w:cs="Times New Roman"/>
          <w:b/>
          <w:bCs/>
          <w:color w:val="auto"/>
          <w:sz w:val="22"/>
          <w:szCs w:val="24"/>
          <w:lang w:eastAsia="zh-Hans"/>
        </w:rPr>
        <w:t>保障体系</w:t>
      </w:r>
      <w:r>
        <w:rPr>
          <w:rFonts w:hint="default" w:ascii="Times New Roman" w:hAnsi="Times New Roman" w:eastAsia="仿宋" w:cs="Times New Roman"/>
          <w:b/>
          <w:bCs/>
          <w:color w:val="auto"/>
          <w:sz w:val="22"/>
          <w:szCs w:val="24"/>
        </w:rPr>
        <w:tab/>
      </w:r>
      <w:r>
        <w:rPr>
          <w:rFonts w:hint="default" w:ascii="Times New Roman" w:hAnsi="Times New Roman" w:eastAsia="仿宋" w:cs="Times New Roman"/>
          <w:b/>
          <w:bCs/>
          <w:color w:val="auto"/>
          <w:sz w:val="22"/>
          <w:szCs w:val="24"/>
        </w:rPr>
        <w:fldChar w:fldCharType="begin"/>
      </w:r>
      <w:r>
        <w:rPr>
          <w:rFonts w:hint="default" w:ascii="Times New Roman" w:hAnsi="Times New Roman" w:eastAsia="仿宋" w:cs="Times New Roman"/>
          <w:b/>
          <w:bCs/>
          <w:color w:val="auto"/>
          <w:sz w:val="22"/>
          <w:szCs w:val="24"/>
        </w:rPr>
        <w:instrText xml:space="preserve"> PAGEREF _Toc1049416354 </w:instrText>
      </w:r>
      <w:r>
        <w:rPr>
          <w:rFonts w:hint="default" w:ascii="Times New Roman" w:hAnsi="Times New Roman" w:eastAsia="仿宋" w:cs="Times New Roman"/>
          <w:b/>
          <w:bCs/>
          <w:color w:val="auto"/>
          <w:sz w:val="22"/>
          <w:szCs w:val="24"/>
        </w:rPr>
        <w:fldChar w:fldCharType="separate"/>
      </w:r>
      <w:r>
        <w:rPr>
          <w:rFonts w:hint="default" w:ascii="Times New Roman" w:hAnsi="Times New Roman" w:eastAsia="仿宋" w:cs="Times New Roman"/>
          <w:b/>
          <w:bCs/>
          <w:color w:val="auto"/>
          <w:sz w:val="22"/>
          <w:szCs w:val="24"/>
        </w:rPr>
        <w:t>29</w:t>
      </w:r>
      <w:r>
        <w:rPr>
          <w:rFonts w:hint="default" w:ascii="Times New Roman" w:hAnsi="Times New Roman" w:eastAsia="仿宋" w:cs="Times New Roman"/>
          <w:b/>
          <w:bCs/>
          <w:color w:val="auto"/>
          <w:sz w:val="22"/>
          <w:szCs w:val="24"/>
        </w:rPr>
        <w:fldChar w:fldCharType="end"/>
      </w:r>
      <w:r>
        <w:rPr>
          <w:rFonts w:hint="default" w:ascii="Times New Roman" w:hAnsi="Times New Roman" w:eastAsia="仿宋" w:cs="Times New Roman"/>
          <w:b/>
          <w:bCs/>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"_Toc257468867"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一</w:t>
      </w:r>
      <w:r>
        <w:rPr>
          <w:rFonts w:hint="default" w:ascii="Times New Roman" w:hAnsi="Times New Roman" w:eastAsia="仿宋" w:cs="Times New Roman"/>
          <w:color w:val="auto"/>
          <w:sz w:val="22"/>
          <w:szCs w:val="24"/>
        </w:rPr>
        <w:t>）加强组织领导，形成发展共识</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_Toc257468867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29</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eastAsia" w:ascii="Times New Roman" w:hAnsi="Times New Roman" w:eastAsia="仿宋" w:cs="Times New Roman"/>
          <w:color w:val="auto"/>
          <w:sz w:val="22"/>
          <w:szCs w:val="24"/>
          <w:lang w:val="en-US" w:eastAsia="zh-CN"/>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"_Toc99698964"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二</w:t>
      </w:r>
      <w:r>
        <w:rPr>
          <w:rFonts w:hint="default" w:ascii="Times New Roman" w:hAnsi="Times New Roman" w:eastAsia="仿宋" w:cs="Times New Roman"/>
          <w:color w:val="auto"/>
          <w:sz w:val="22"/>
          <w:szCs w:val="24"/>
        </w:rPr>
        <w:t>）加强规划监督，明确任务分工</w:t>
      </w:r>
      <w:r>
        <w:rPr>
          <w:rFonts w:hint="default" w:ascii="Times New Roman" w:hAnsi="Times New Roman" w:eastAsia="仿宋" w:cs="Times New Roman"/>
          <w:color w:val="auto"/>
          <w:sz w:val="22"/>
          <w:szCs w:val="24"/>
        </w:rPr>
        <w:tab/>
      </w:r>
      <w:r>
        <w:rPr>
          <w:rFonts w:hint="eastAsia" w:ascii="Times New Roman" w:hAnsi="Times New Roman" w:eastAsia="仿宋" w:cs="Times New Roman"/>
          <w:color w:val="auto"/>
          <w:sz w:val="22"/>
          <w:szCs w:val="24"/>
          <w:lang w:val="en-US" w:eastAsia="zh-CN"/>
        </w:rPr>
        <w:t>2</w:t>
      </w:r>
      <w:r>
        <w:rPr>
          <w:rFonts w:hint="default" w:ascii="Times New Roman" w:hAnsi="Times New Roman" w:eastAsia="仿宋" w:cs="Times New Roman"/>
          <w:color w:val="auto"/>
          <w:sz w:val="22"/>
          <w:szCs w:val="24"/>
        </w:rPr>
        <w:fldChar w:fldCharType="end"/>
      </w:r>
      <w:r>
        <w:rPr>
          <w:rFonts w:hint="eastAsia" w:ascii="Times New Roman" w:hAnsi="Times New Roman" w:eastAsia="仿宋" w:cs="Times New Roman"/>
          <w:color w:val="auto"/>
          <w:sz w:val="22"/>
          <w:szCs w:val="24"/>
          <w:lang w:val="en-US" w:eastAsia="zh-CN"/>
        </w:rPr>
        <w:t>9</w:t>
      </w:r>
    </w:p>
    <w:p>
      <w:pPr>
        <w:pStyle w:val="13"/>
        <w:pageBreakBefore w:val="0"/>
        <w:tabs>
          <w:tab w:val="right" w:leader="dot" w:pos="8306"/>
          <w:tab w:val="clear" w:pos="8296"/>
        </w:tabs>
        <w:kinsoku/>
        <w:wordWrap/>
        <w:overflowPunct/>
        <w:topLinePunct w:val="0"/>
        <w:autoSpaceDE/>
        <w:autoSpaceDN/>
        <w:bidi w:val="0"/>
        <w:spacing w:line="560" w:lineRule="exact"/>
        <w:rPr>
          <w:rFonts w:hint="eastAsia" w:ascii="Times New Roman" w:hAnsi="Times New Roman" w:eastAsia="仿宋" w:cs="Times New Roman"/>
          <w:color w:val="auto"/>
          <w:sz w:val="22"/>
          <w:szCs w:val="24"/>
          <w:lang w:val="en-US" w:eastAsia="zh-CN"/>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"_Toc603243288"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三</w:t>
      </w:r>
      <w:r>
        <w:rPr>
          <w:rFonts w:hint="default" w:ascii="Times New Roman" w:hAnsi="Times New Roman" w:eastAsia="仿宋" w:cs="Times New Roman"/>
          <w:color w:val="auto"/>
          <w:sz w:val="22"/>
          <w:szCs w:val="24"/>
        </w:rPr>
        <w:t>）加强宣传动员，营造舆论氛围</w:t>
      </w:r>
      <w:r>
        <w:rPr>
          <w:rFonts w:hint="default" w:ascii="Times New Roman" w:hAnsi="Times New Roman" w:eastAsia="仿宋" w:cs="Times New Roman"/>
          <w:color w:val="auto"/>
          <w:sz w:val="22"/>
          <w:szCs w:val="24"/>
        </w:rPr>
        <w:tab/>
      </w:r>
      <w:r>
        <w:rPr>
          <w:rFonts w:hint="eastAsia" w:ascii="Times New Roman" w:hAnsi="Times New Roman" w:eastAsia="仿宋" w:cs="Times New Roman"/>
          <w:color w:val="auto"/>
          <w:sz w:val="22"/>
          <w:szCs w:val="24"/>
          <w:lang w:val="en-US" w:eastAsia="zh-CN"/>
        </w:rPr>
        <w:t>2</w:t>
      </w:r>
      <w:r>
        <w:rPr>
          <w:rFonts w:hint="default" w:ascii="Times New Roman" w:hAnsi="Times New Roman" w:eastAsia="仿宋" w:cs="Times New Roman"/>
          <w:color w:val="auto"/>
          <w:sz w:val="22"/>
          <w:szCs w:val="24"/>
        </w:rPr>
        <w:fldChar w:fldCharType="end"/>
      </w:r>
      <w:r>
        <w:rPr>
          <w:rFonts w:hint="eastAsia" w:ascii="Times New Roman" w:hAnsi="Times New Roman" w:eastAsia="仿宋" w:cs="Times New Roman"/>
          <w:color w:val="auto"/>
          <w:sz w:val="22"/>
          <w:szCs w:val="24"/>
          <w:lang w:val="en-US" w:eastAsia="zh-CN"/>
        </w:rPr>
        <w:t>9</w:t>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"_Toc439643929"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w:t>
      </w:r>
      <w:r>
        <w:rPr>
          <w:rFonts w:hint="default" w:ascii="Times New Roman" w:hAnsi="Times New Roman" w:eastAsia="仿宋" w:cs="Times New Roman"/>
          <w:color w:val="auto"/>
          <w:sz w:val="22"/>
          <w:szCs w:val="24"/>
          <w:lang w:eastAsia="zh-Hans"/>
        </w:rPr>
        <w:t>四</w:t>
      </w:r>
      <w:r>
        <w:rPr>
          <w:rFonts w:hint="default" w:ascii="Times New Roman" w:hAnsi="Times New Roman" w:eastAsia="仿宋" w:cs="Times New Roman"/>
          <w:color w:val="auto"/>
          <w:sz w:val="22"/>
          <w:szCs w:val="24"/>
        </w:rPr>
        <w:t>）加强综合考评，健全督查机制</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_Toc439643929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30</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2"/>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"_Toc1751769023" </w:instrText>
      </w:r>
      <w:r>
        <w:rPr>
          <w:rFonts w:hint="default" w:ascii="Times New Roman" w:hAnsi="Times New Roman" w:cs="Times New Roman"/>
          <w:color w:val="auto"/>
        </w:rPr>
        <w:fldChar w:fldCharType="separate"/>
      </w:r>
      <w:r>
        <w:rPr>
          <w:rFonts w:hint="default" w:ascii="Times New Roman" w:hAnsi="Times New Roman" w:eastAsia="仿宋" w:cs="Times New Roman"/>
          <w:b/>
          <w:bCs/>
          <w:color w:val="auto"/>
          <w:sz w:val="22"/>
          <w:szCs w:val="24"/>
          <w:lang w:eastAsia="zh-Hans"/>
        </w:rPr>
        <w:t>五</w:t>
      </w:r>
      <w:r>
        <w:rPr>
          <w:rFonts w:hint="default" w:ascii="Times New Roman" w:hAnsi="Times New Roman" w:eastAsia="仿宋" w:cs="Times New Roman"/>
          <w:b/>
          <w:bCs/>
          <w:color w:val="auto"/>
          <w:sz w:val="22"/>
          <w:szCs w:val="24"/>
        </w:rPr>
        <w:t>、</w:t>
      </w:r>
      <w:r>
        <w:rPr>
          <w:rFonts w:hint="default" w:ascii="Times New Roman" w:hAnsi="Times New Roman" w:eastAsia="仿宋" w:cs="Times New Roman"/>
          <w:b/>
          <w:bCs/>
          <w:color w:val="auto"/>
          <w:sz w:val="22"/>
          <w:szCs w:val="24"/>
          <w:lang w:eastAsia="zh-Hans"/>
        </w:rPr>
        <w:t>推进</w:t>
      </w:r>
      <w:r>
        <w:rPr>
          <w:rFonts w:hint="default" w:ascii="Times New Roman" w:hAnsi="Times New Roman" w:eastAsia="仿宋" w:cs="Times New Roman"/>
          <w:b/>
          <w:bCs/>
          <w:color w:val="auto"/>
          <w:sz w:val="22"/>
          <w:szCs w:val="24"/>
        </w:rPr>
        <w:t>与实施</w:t>
      </w:r>
      <w:r>
        <w:rPr>
          <w:rFonts w:hint="default" w:ascii="Times New Roman" w:hAnsi="Times New Roman" w:eastAsia="仿宋" w:cs="Times New Roman"/>
          <w:b/>
          <w:bCs/>
          <w:color w:val="auto"/>
          <w:sz w:val="22"/>
          <w:szCs w:val="24"/>
        </w:rPr>
        <w:tab/>
      </w:r>
      <w:r>
        <w:rPr>
          <w:rFonts w:hint="default" w:ascii="Times New Roman" w:hAnsi="Times New Roman" w:eastAsia="仿宋" w:cs="Times New Roman"/>
          <w:b/>
          <w:bCs/>
          <w:color w:val="auto"/>
          <w:sz w:val="22"/>
          <w:szCs w:val="24"/>
        </w:rPr>
        <w:fldChar w:fldCharType="begin"/>
      </w:r>
      <w:r>
        <w:rPr>
          <w:rFonts w:hint="default" w:ascii="Times New Roman" w:hAnsi="Times New Roman" w:eastAsia="仿宋" w:cs="Times New Roman"/>
          <w:b/>
          <w:bCs/>
          <w:color w:val="auto"/>
          <w:sz w:val="22"/>
          <w:szCs w:val="24"/>
        </w:rPr>
        <w:instrText xml:space="preserve"> PAGEREF _Toc1751769023 </w:instrText>
      </w:r>
      <w:r>
        <w:rPr>
          <w:rFonts w:hint="default" w:ascii="Times New Roman" w:hAnsi="Times New Roman" w:eastAsia="仿宋" w:cs="Times New Roman"/>
          <w:b/>
          <w:bCs/>
          <w:color w:val="auto"/>
          <w:sz w:val="22"/>
          <w:szCs w:val="24"/>
        </w:rPr>
        <w:fldChar w:fldCharType="separate"/>
      </w:r>
      <w:r>
        <w:rPr>
          <w:rFonts w:hint="default" w:ascii="Times New Roman" w:hAnsi="Times New Roman" w:eastAsia="仿宋" w:cs="Times New Roman"/>
          <w:b/>
          <w:bCs/>
          <w:color w:val="auto"/>
          <w:sz w:val="22"/>
          <w:szCs w:val="24"/>
        </w:rPr>
        <w:t>30</w:t>
      </w:r>
      <w:r>
        <w:rPr>
          <w:rFonts w:hint="default" w:ascii="Times New Roman" w:hAnsi="Times New Roman" w:eastAsia="仿宋" w:cs="Times New Roman"/>
          <w:b/>
          <w:bCs/>
          <w:color w:val="auto"/>
          <w:sz w:val="22"/>
          <w:szCs w:val="24"/>
        </w:rPr>
        <w:fldChar w:fldCharType="end"/>
      </w:r>
      <w:r>
        <w:rPr>
          <w:rFonts w:hint="default" w:ascii="Times New Roman" w:hAnsi="Times New Roman" w:eastAsia="仿宋" w:cs="Times New Roman"/>
          <w:b/>
          <w:bCs/>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default" w:ascii="Times New Roman" w:hAnsi="Times New Roman" w:eastAsia="仿宋" w:cs="Times New Roman"/>
          <w:color w:val="auto"/>
          <w:sz w:val="22"/>
          <w:szCs w:val="24"/>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"_Toc2128652838"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（一）规划实施</w:t>
      </w:r>
      <w:r>
        <w:rPr>
          <w:rFonts w:hint="default" w:ascii="Times New Roman" w:hAnsi="Times New Roman" w:eastAsia="仿宋" w:cs="Times New Roman"/>
          <w:color w:val="auto"/>
          <w:sz w:val="22"/>
          <w:szCs w:val="24"/>
        </w:rPr>
        <w:tab/>
      </w:r>
      <w:r>
        <w:rPr>
          <w:rFonts w:hint="default" w:ascii="Times New Roman" w:hAnsi="Times New Roman" w:eastAsia="仿宋" w:cs="Times New Roman"/>
          <w:color w:val="auto"/>
          <w:sz w:val="22"/>
          <w:szCs w:val="24"/>
        </w:rPr>
        <w:fldChar w:fldCharType="begin"/>
      </w:r>
      <w:r>
        <w:rPr>
          <w:rFonts w:hint="default" w:ascii="Times New Roman" w:hAnsi="Times New Roman" w:eastAsia="仿宋" w:cs="Times New Roman"/>
          <w:color w:val="auto"/>
          <w:sz w:val="22"/>
          <w:szCs w:val="24"/>
        </w:rPr>
        <w:instrText xml:space="preserve"> PAGEREF _Toc2128652838 </w:instrText>
      </w:r>
      <w:r>
        <w:rPr>
          <w:rFonts w:hint="default" w:ascii="Times New Roman" w:hAnsi="Times New Roman" w:eastAsia="仿宋" w:cs="Times New Roman"/>
          <w:color w:val="auto"/>
          <w:sz w:val="22"/>
          <w:szCs w:val="24"/>
        </w:rPr>
        <w:fldChar w:fldCharType="separate"/>
      </w:r>
      <w:r>
        <w:rPr>
          <w:rFonts w:hint="default" w:ascii="Times New Roman" w:hAnsi="Times New Roman" w:eastAsia="仿宋" w:cs="Times New Roman"/>
          <w:color w:val="auto"/>
          <w:sz w:val="22"/>
          <w:szCs w:val="24"/>
        </w:rPr>
        <w:t>30</w:t>
      </w:r>
      <w:r>
        <w:rPr>
          <w:rFonts w:hint="default" w:ascii="Times New Roman" w:hAnsi="Times New Roman" w:eastAsia="仿宋" w:cs="Times New Roman"/>
          <w:color w:val="auto"/>
          <w:sz w:val="22"/>
          <w:szCs w:val="24"/>
        </w:rPr>
        <w:fldChar w:fldCharType="end"/>
      </w:r>
      <w:r>
        <w:rPr>
          <w:rFonts w:hint="default" w:ascii="Times New Roman" w:hAnsi="Times New Roman" w:eastAsia="仿宋" w:cs="Times New Roman"/>
          <w:color w:val="auto"/>
          <w:sz w:val="22"/>
          <w:szCs w:val="24"/>
        </w:rPr>
        <w:fldChar w:fldCharType="end"/>
      </w:r>
    </w:p>
    <w:p>
      <w:pPr>
        <w:pStyle w:val="13"/>
        <w:pageBreakBefore w:val="0"/>
        <w:tabs>
          <w:tab w:val="right" w:leader="dot" w:pos="8306"/>
          <w:tab w:val="clear" w:pos="8296"/>
        </w:tabs>
        <w:kinsoku/>
        <w:wordWrap/>
        <w:overflowPunct/>
        <w:topLinePunct w:val="0"/>
        <w:autoSpaceDE/>
        <w:autoSpaceDN/>
        <w:bidi w:val="0"/>
        <w:spacing w:line="560" w:lineRule="exact"/>
        <w:rPr>
          <w:rFonts w:hint="eastAsia" w:ascii="Times New Roman" w:hAnsi="Times New Roman" w:eastAsia="仿宋" w:cs="Times New Roman"/>
          <w:color w:val="auto"/>
          <w:lang w:val="en-US" w:eastAsia="zh-CN"/>
        </w:rPr>
      </w:pP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\l "_Toc1338172893" </w:instrText>
      </w:r>
      <w:r>
        <w:rPr>
          <w:rFonts w:hint="default" w:ascii="Times New Roman" w:hAnsi="Times New Roman" w:cs="Times New Roman"/>
          <w:color w:val="auto"/>
        </w:rPr>
        <w:fldChar w:fldCharType="separate"/>
      </w:r>
      <w:r>
        <w:rPr>
          <w:rFonts w:hint="default" w:ascii="Times New Roman" w:hAnsi="Times New Roman" w:eastAsia="仿宋" w:cs="Times New Roman"/>
          <w:color w:val="auto"/>
          <w:sz w:val="22"/>
          <w:szCs w:val="24"/>
        </w:rPr>
        <w:t>（二）评估与调整</w:t>
      </w:r>
      <w:r>
        <w:rPr>
          <w:rFonts w:hint="default" w:ascii="Times New Roman" w:hAnsi="Times New Roman" w:eastAsia="仿宋" w:cs="Times New Roman"/>
          <w:color w:val="auto"/>
          <w:sz w:val="22"/>
          <w:szCs w:val="24"/>
        </w:rPr>
        <w:tab/>
      </w:r>
      <w:r>
        <w:rPr>
          <w:rFonts w:hint="eastAsia" w:ascii="Times New Roman" w:hAnsi="Times New Roman" w:eastAsia="仿宋" w:cs="Times New Roman"/>
          <w:color w:val="auto"/>
          <w:sz w:val="22"/>
          <w:szCs w:val="24"/>
          <w:lang w:val="en-US" w:eastAsia="zh-CN"/>
        </w:rPr>
        <w:t>3</w:t>
      </w:r>
      <w:r>
        <w:rPr>
          <w:rFonts w:hint="default" w:ascii="Times New Roman" w:hAnsi="Times New Roman" w:eastAsia="仿宋" w:cs="Times New Roman"/>
          <w:color w:val="auto"/>
          <w:sz w:val="22"/>
          <w:szCs w:val="24"/>
        </w:rPr>
        <w:fldChar w:fldCharType="end"/>
      </w:r>
      <w:r>
        <w:rPr>
          <w:rFonts w:hint="eastAsia" w:ascii="Times New Roman" w:hAnsi="Times New Roman" w:eastAsia="仿宋" w:cs="Times New Roman"/>
          <w:color w:val="auto"/>
          <w:sz w:val="22"/>
          <w:szCs w:val="24"/>
          <w:lang w:val="en-US" w:eastAsia="zh-CN"/>
        </w:rPr>
        <w:t>0</w:t>
      </w:r>
    </w:p>
    <w:p>
      <w:pPr>
        <w:pageBreakBefore w:val="0"/>
        <w:kinsoku/>
        <w:wordWrap/>
        <w:overflowPunct/>
        <w:topLinePunct w:val="0"/>
        <w:autoSpaceDE/>
        <w:autoSpaceDN/>
        <w:bidi w:val="0"/>
        <w:spacing w:line="560" w:lineRule="exact"/>
        <w:rPr>
          <w:rFonts w:hint="default" w:ascii="Times New Roman" w:hAnsi="Times New Roman" w:eastAsia="仿宋" w:cs="Times New Roman"/>
          <w:color w:val="auto"/>
          <w:sz w:val="28"/>
          <w:szCs w:val="28"/>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0"/>
          <w:cols w:space="425" w:num="1"/>
          <w:titlePg/>
          <w:docGrid w:type="lines" w:linePitch="312" w:charSpace="0"/>
        </w:sectPr>
      </w:pPr>
      <w:r>
        <w:rPr>
          <w:rFonts w:hint="default" w:ascii="Times New Roman" w:hAnsi="Times New Roman" w:eastAsia="仿宋" w:cs="Times New Roman"/>
          <w:bCs/>
          <w:color w:val="auto"/>
          <w:szCs w:val="24"/>
          <w:lang w:val="zh-CN"/>
        </w:rPr>
        <w:fldChar w:fldCharType="end"/>
      </w:r>
    </w:p>
    <w:p>
      <w:pPr>
        <w:pageBreakBefore w:val="0"/>
        <w:widowControl w:val="0"/>
        <w:kinsoku/>
        <w:wordWrap/>
        <w:overflowPunct/>
        <w:topLinePunct w:val="0"/>
        <w:autoSpaceDE/>
        <w:autoSpaceDN/>
        <w:bidi w:val="0"/>
        <w:adjustRightInd/>
        <w:snapToGrid/>
        <w:spacing w:line="520" w:lineRule="exact"/>
        <w:jc w:val="center"/>
        <w:textAlignment w:val="auto"/>
        <w:rPr>
          <w:rFonts w:hint="default" w:ascii="Times New Roman" w:hAnsi="Times New Roman" w:eastAsia="微软雅黑" w:cs="Times New Roman"/>
          <w:b/>
          <w:bCs/>
          <w:color w:val="auto"/>
          <w:sz w:val="36"/>
          <w:szCs w:val="36"/>
        </w:rPr>
      </w:pPr>
      <w:r>
        <w:rPr>
          <w:rFonts w:hint="eastAsia" w:ascii="方正小标宋简体" w:hAnsi="方正小标宋简体" w:eastAsia="方正小标宋简体" w:cs="方正小标宋简体"/>
          <w:b w:val="0"/>
          <w:bCs w:val="0"/>
          <w:color w:val="auto"/>
          <w:sz w:val="44"/>
          <w:szCs w:val="44"/>
        </w:rPr>
        <w:t>武昌首义学院“十四五”发展规划</w:t>
      </w:r>
    </w:p>
    <w:p>
      <w:pPr>
        <w:pStyle w:val="32"/>
        <w:pageBreakBefore w:val="0"/>
        <w:widowControl w:val="0"/>
        <w:kinsoku/>
        <w:wordWrap/>
        <w:overflowPunct/>
        <w:topLinePunct w:val="0"/>
        <w:autoSpaceDE/>
        <w:autoSpaceDN/>
        <w:bidi w:val="0"/>
        <w:adjustRightInd/>
        <w:snapToGrid/>
        <w:spacing w:line="520" w:lineRule="exact"/>
        <w:ind w:firstLineChars="100"/>
        <w:textAlignment w:val="auto"/>
        <w:rPr>
          <w:rFonts w:hint="eastAsia" w:ascii="仿宋_GB2312" w:hAnsi="仿宋_GB2312" w:eastAsia="仿宋_GB2312" w:cs="仿宋_GB2312"/>
          <w:color w:val="auto"/>
          <w:sz w:val="32"/>
          <w:szCs w:val="32"/>
        </w:rPr>
      </w:pPr>
    </w:p>
    <w:p>
      <w:pPr>
        <w:pStyle w:val="32"/>
        <w:pageBreakBefore w:val="0"/>
        <w:widowControl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“十四五”时期</w:t>
      </w:r>
      <w:r>
        <w:rPr>
          <w:rFonts w:hint="eastAsia" w:ascii="仿宋_GB2312" w:hAnsi="仿宋_GB2312" w:eastAsia="仿宋_GB2312" w:cs="仿宋_GB2312"/>
          <w:color w:val="auto"/>
          <w:sz w:val="32"/>
          <w:szCs w:val="32"/>
          <w:lang w:eastAsia="zh-Hans"/>
        </w:rPr>
        <w:t>是学校实施“三步走”战略、为学校长远发展打好坚实基础的关键时期。为进一步把握发展方向、明确发展任务、擘画发展蓝图，全面贯彻落实</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中国教育现代化2035</w:t>
      </w:r>
      <w:r>
        <w:rPr>
          <w:rFonts w:hint="eastAsia" w:ascii="仿宋_GB2312" w:hAnsi="仿宋_GB2312" w:eastAsia="仿宋_GB2312" w:cs="仿宋_GB2312"/>
          <w:color w:val="auto"/>
          <w:sz w:val="32"/>
          <w:szCs w:val="32"/>
        </w:rPr>
        <w:t>》《湖北省国民经济和社会发展第十四个五年规划和二〇三五年远景目标纲要》</w:t>
      </w:r>
      <w:r>
        <w:rPr>
          <w:rFonts w:hint="eastAsia" w:ascii="仿宋_GB2312" w:hAnsi="仿宋_GB2312" w:eastAsia="仿宋_GB2312" w:cs="仿宋_GB2312"/>
          <w:color w:val="auto"/>
          <w:sz w:val="32"/>
          <w:szCs w:val="32"/>
          <w:lang w:eastAsia="zh-Hans"/>
        </w:rPr>
        <w:t>以及</w:t>
      </w:r>
      <w:r>
        <w:rPr>
          <w:rFonts w:hint="eastAsia" w:ascii="仿宋_GB2312" w:hAnsi="仿宋_GB2312" w:eastAsia="仿宋_GB2312" w:cs="仿宋_GB2312"/>
          <w:color w:val="auto"/>
          <w:sz w:val="32"/>
          <w:szCs w:val="32"/>
        </w:rPr>
        <w:t>全国教育大会精神，促进学校高质量发展，推进建设“</w:t>
      </w:r>
      <w:r>
        <w:rPr>
          <w:rFonts w:hint="eastAsia" w:ascii="仿宋_GB2312" w:hAnsi="仿宋_GB2312" w:eastAsia="仿宋_GB2312" w:cs="仿宋_GB2312"/>
          <w:color w:val="auto"/>
          <w:sz w:val="32"/>
          <w:szCs w:val="32"/>
          <w:lang w:val="en-US" w:eastAsia="zh-CN"/>
        </w:rPr>
        <w:t>特色鲜明的高水平应用型大学</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进程，</w:t>
      </w:r>
      <w:r>
        <w:rPr>
          <w:rFonts w:hint="eastAsia" w:ascii="仿宋_GB2312" w:hAnsi="仿宋_GB2312" w:eastAsia="仿宋_GB2312" w:cs="仿宋_GB2312"/>
          <w:color w:val="auto"/>
          <w:sz w:val="32"/>
          <w:szCs w:val="32"/>
        </w:rPr>
        <w:t>制定本规划。</w:t>
      </w:r>
    </w:p>
    <w:p>
      <w:pPr>
        <w:pStyle w:val="2"/>
        <w:pageBreakBefore w:val="0"/>
        <w:widowControl w:val="0"/>
        <w:kinsoku/>
        <w:wordWrap/>
        <w:overflowPunct/>
        <w:topLinePunct w:val="0"/>
        <w:autoSpaceDE/>
        <w:autoSpaceDN/>
        <w:bidi w:val="0"/>
        <w:adjustRightInd/>
        <w:snapToGrid/>
        <w:spacing w:before="0" w:beforeLines="0" w:after="0" w:afterLines="0" w:line="520" w:lineRule="exact"/>
        <w:ind w:firstLine="640" w:firstLineChars="200"/>
        <w:textAlignment w:val="auto"/>
        <w:rPr>
          <w:rFonts w:hint="eastAsia" w:ascii="黑体" w:hAnsi="黑体" w:eastAsia="黑体" w:cs="黑体"/>
          <w:b w:val="0"/>
          <w:bCs w:val="0"/>
          <w:color w:val="auto"/>
        </w:rPr>
      </w:pPr>
      <w:bookmarkStart w:id="0" w:name="_Toc2051198288"/>
      <w:bookmarkStart w:id="1" w:name="_Toc2072795181"/>
      <w:r>
        <w:rPr>
          <w:rFonts w:hint="eastAsia" w:ascii="黑体" w:hAnsi="黑体" w:eastAsia="黑体" w:cs="黑体"/>
          <w:b w:val="0"/>
          <w:bCs w:val="0"/>
          <w:color w:val="auto"/>
        </w:rPr>
        <w:t>一、</w:t>
      </w:r>
      <w:bookmarkEnd w:id="0"/>
      <w:r>
        <w:rPr>
          <w:rFonts w:hint="eastAsia" w:ascii="黑体" w:hAnsi="黑体" w:eastAsia="黑体" w:cs="黑体"/>
          <w:b w:val="0"/>
          <w:bCs w:val="0"/>
          <w:color w:val="auto"/>
          <w:lang w:eastAsia="zh-Hans"/>
        </w:rPr>
        <w:t>发展基础与形势分析</w:t>
      </w:r>
      <w:bookmarkEnd w:id="1"/>
    </w:p>
    <w:p>
      <w:pPr>
        <w:pageBreakBefore w:val="0"/>
        <w:widowControl w:val="0"/>
        <w:kinsoku/>
        <w:wordWrap/>
        <w:overflowPunct/>
        <w:topLinePunct w:val="0"/>
        <w:autoSpaceDE/>
        <w:autoSpaceDN/>
        <w:bidi w:val="0"/>
        <w:adjustRightInd/>
        <w:snapToGrid/>
        <w:spacing w:line="520" w:lineRule="exact"/>
        <w:ind w:firstLine="640" w:firstLineChars="200"/>
        <w:jc w:val="left"/>
        <w:textAlignment w:val="auto"/>
        <w:outlineLvl w:val="1"/>
        <w:rPr>
          <w:rFonts w:hint="eastAsia" w:ascii="楷体_GB2312" w:hAnsi="楷体_GB2312" w:eastAsia="楷体_GB2312" w:cs="楷体_GB2312"/>
          <w:b w:val="0"/>
          <w:bCs w:val="0"/>
          <w:color w:val="auto"/>
          <w:sz w:val="32"/>
          <w:szCs w:val="32"/>
        </w:rPr>
      </w:pPr>
      <w:bookmarkStart w:id="2" w:name="_Toc988885433"/>
      <w:bookmarkStart w:id="3" w:name="_Toc52041192"/>
      <w:bookmarkStart w:id="4" w:name="_Toc51872754"/>
      <w:r>
        <w:rPr>
          <w:rFonts w:hint="eastAsia" w:ascii="楷体_GB2312" w:hAnsi="楷体_GB2312" w:eastAsia="楷体_GB2312" w:cs="楷体_GB2312"/>
          <w:b w:val="0"/>
          <w:bCs w:val="0"/>
          <w:color w:val="auto"/>
          <w:sz w:val="32"/>
          <w:szCs w:val="32"/>
        </w:rPr>
        <w:t>（一）</w:t>
      </w:r>
      <w:r>
        <w:rPr>
          <w:rFonts w:hint="eastAsia" w:ascii="楷体_GB2312" w:hAnsi="楷体_GB2312" w:eastAsia="楷体_GB2312" w:cs="楷体_GB2312"/>
          <w:b w:val="0"/>
          <w:bCs w:val="0"/>
          <w:color w:val="auto"/>
          <w:sz w:val="32"/>
          <w:szCs w:val="32"/>
          <w:lang w:eastAsia="zh-Hans"/>
        </w:rPr>
        <w:t>主要成绩</w:t>
      </w:r>
      <w:bookmarkEnd w:id="2"/>
    </w:p>
    <w:p>
      <w:pPr>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“十三五”时期是学校转设的第一个五年。五年中，学校认真贯彻党的教育方针，落实立德树人根本任务，求真务实、勇于创新、锐意进取，改善办学条件，深化教学改革，强化师资队伍，优化治理体系，入选</w:t>
      </w:r>
      <w:r>
        <w:rPr>
          <w:rFonts w:hint="eastAsia" w:ascii="仿宋_GB2312" w:hAnsi="仿宋_GB2312" w:eastAsia="仿宋_GB2312" w:cs="仿宋_GB2312"/>
          <w:bCs/>
          <w:color w:val="auto"/>
          <w:sz w:val="32"/>
          <w:szCs w:val="32"/>
        </w:rPr>
        <w:t>首批</w:t>
      </w:r>
      <w:r>
        <w:rPr>
          <w:rFonts w:hint="eastAsia" w:ascii="仿宋_GB2312" w:hAnsi="仿宋_GB2312" w:eastAsia="仿宋_GB2312" w:cs="仿宋_GB2312"/>
          <w:color w:val="auto"/>
          <w:sz w:val="32"/>
          <w:szCs w:val="32"/>
        </w:rPr>
        <w:t>国家一流本科专业建设点、教育部</w:t>
      </w:r>
      <w:r>
        <w:rPr>
          <w:rFonts w:hint="eastAsia" w:ascii="仿宋_GB2312" w:hAnsi="仿宋_GB2312" w:eastAsia="仿宋_GB2312" w:cs="仿宋_GB2312"/>
          <w:bCs/>
          <w:color w:val="auto"/>
          <w:sz w:val="32"/>
          <w:szCs w:val="32"/>
        </w:rPr>
        <w:t>首批</w:t>
      </w:r>
      <w:r>
        <w:rPr>
          <w:rFonts w:hint="eastAsia" w:ascii="仿宋_GB2312" w:hAnsi="仿宋_GB2312" w:eastAsia="仿宋_GB2312" w:cs="仿宋_GB2312"/>
          <w:color w:val="auto"/>
          <w:sz w:val="32"/>
          <w:szCs w:val="32"/>
        </w:rPr>
        <w:t>“互联网+中国制造2025”产教融合促进计划试点院校，获批教育部新工科探索与实践项目，</w:t>
      </w:r>
      <w:r>
        <w:rPr>
          <w:rFonts w:hint="eastAsia" w:ascii="仿宋_GB2312" w:hAnsi="仿宋_GB2312" w:eastAsia="仿宋_GB2312" w:cs="仿宋_GB2312"/>
          <w:bCs/>
          <w:color w:val="auto"/>
          <w:sz w:val="32"/>
          <w:szCs w:val="32"/>
        </w:rPr>
        <w:t>连续</w:t>
      </w:r>
      <w:r>
        <w:rPr>
          <w:rFonts w:hint="eastAsia" w:ascii="仿宋_GB2312" w:hAnsi="仿宋_GB2312" w:eastAsia="仿宋_GB2312" w:cs="仿宋_GB2312"/>
          <w:color w:val="auto"/>
          <w:sz w:val="32"/>
          <w:szCs w:val="32"/>
        </w:rPr>
        <w:t>蝉联艾瑞深校友会中国民办高校排行榜首，向高水平应用型大学发展目标迈出了稳健一步。</w:t>
      </w:r>
    </w:p>
    <w:p>
      <w:pPr>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 w:cs="Times New Roman"/>
          <w:b/>
          <w:bCs/>
          <w:color w:val="auto"/>
          <w:sz w:val="32"/>
          <w:szCs w:val="32"/>
        </w:rPr>
      </w:pPr>
      <w:r>
        <w:rPr>
          <w:rFonts w:hint="eastAsia" w:ascii="仿宋_GB2312" w:hAnsi="仿宋_GB2312" w:eastAsia="仿宋_GB2312" w:cs="仿宋_GB2312"/>
          <w:b/>
          <w:bCs/>
          <w:color w:val="auto"/>
          <w:sz w:val="32"/>
          <w:szCs w:val="32"/>
        </w:rPr>
        <w:t>1.人才培养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办学规模稳步增长。全日制在校生规模从13198人增长</w:t>
      </w:r>
      <w:r>
        <w:rPr>
          <w:rFonts w:hint="eastAsia" w:ascii="仿宋_GB2312" w:hAnsi="仿宋_GB2312" w:eastAsia="仿宋_GB2312" w:cs="仿宋_GB2312"/>
          <w:color w:val="auto"/>
          <w:sz w:val="32"/>
          <w:szCs w:val="32"/>
          <w:lang w:eastAsia="zh-Hans"/>
        </w:rPr>
        <w:t>至</w:t>
      </w:r>
      <w:r>
        <w:rPr>
          <w:rFonts w:hint="eastAsia" w:ascii="仿宋_GB2312" w:hAnsi="仿宋_GB2312" w:eastAsia="仿宋_GB2312" w:cs="仿宋_GB2312"/>
          <w:color w:val="auto"/>
          <w:sz w:val="32"/>
          <w:szCs w:val="32"/>
        </w:rPr>
        <w:t>16203人，增长23%。</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专业建设成效初显。</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十三五</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期间，“机械电子工程”专业入选国家级一流本科专业建设点，广播电视学、土木工程专业入选湖北省一流本科专业建设点，“计算机科学与技术”等</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个专业入选</w:t>
      </w:r>
      <w:r>
        <w:rPr>
          <w:rFonts w:hint="eastAsia" w:ascii="仿宋_GB2312" w:hAnsi="仿宋_GB2312" w:eastAsia="仿宋_GB2312" w:cs="仿宋_GB2312"/>
          <w:color w:val="auto"/>
          <w:kern w:val="0"/>
          <w:sz w:val="32"/>
          <w:szCs w:val="32"/>
        </w:rPr>
        <w:t>教育部产教融合促进计划和产学合作综合改革项目，</w:t>
      </w:r>
      <w:r>
        <w:rPr>
          <w:rFonts w:hint="eastAsia" w:ascii="仿宋_GB2312" w:hAnsi="仿宋_GB2312" w:eastAsia="仿宋_GB2312" w:cs="仿宋_GB2312"/>
          <w:color w:val="auto"/>
          <w:sz w:val="32"/>
          <w:szCs w:val="32"/>
          <w:lang w:eastAsia="zh-Hans"/>
        </w:rPr>
        <w:t>“网络与新媒体”等</w:t>
      </w:r>
      <w:r>
        <w:rPr>
          <w:rFonts w:hint="eastAsia" w:ascii="仿宋_GB2312" w:hAnsi="仿宋_GB2312" w:eastAsia="仿宋_GB2312" w:cs="仿宋_GB2312"/>
          <w:color w:val="auto"/>
          <w:sz w:val="32"/>
          <w:szCs w:val="32"/>
        </w:rPr>
        <w:t>3个专业入选湖北省荆楚卓越人才协同育人项目。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教学改革持续深化。学校落实立德树人根本任务，强化三全育人，对标工程教育认证目标</w:t>
      </w:r>
      <w:r>
        <w:rPr>
          <w:rFonts w:hint="eastAsia" w:ascii="仿宋_GB2312" w:hAnsi="仿宋_GB2312" w:eastAsia="仿宋_GB2312" w:cs="仿宋_GB2312"/>
          <w:color w:val="auto"/>
          <w:sz w:val="32"/>
          <w:szCs w:val="32"/>
          <w:lang w:val="en-US" w:eastAsia="zh-CN"/>
        </w:rPr>
        <w:t>和</w:t>
      </w:r>
      <w:r>
        <w:rPr>
          <w:rFonts w:hint="eastAsia" w:ascii="仿宋_GB2312" w:hAnsi="仿宋_GB2312" w:eastAsia="仿宋_GB2312" w:cs="仿宋_GB2312"/>
          <w:color w:val="auto"/>
          <w:sz w:val="32"/>
          <w:szCs w:val="32"/>
        </w:rPr>
        <w:t>本科专业类教学质量国家标准，全面推行“学生中心、产出导向、持续改进”理念，构建并实施OBE教育教学体系，深化产教融合，加强校企合作，强化实践教学，培养应用型人才。“十三五”期间获批教育部新工科探索与实践项目等部省级教改项目104项、教育部“产学合作协同育人项目”32项、省级虚拟仿真实验教学项目2个；校企合作共建产业学院2个、新工科专业9个（其中3个获教育部立项建设）、</w:t>
      </w:r>
      <w:r>
        <w:rPr>
          <w:rFonts w:hint="eastAsia" w:ascii="仿宋_GB2312" w:hAnsi="仿宋_GB2312" w:eastAsia="仿宋_GB2312" w:cs="仿宋_GB2312"/>
          <w:color w:val="auto"/>
          <w:sz w:val="32"/>
          <w:szCs w:val="32"/>
          <w:lang w:val="en-US" w:eastAsia="zh-CN"/>
        </w:rPr>
        <w:t>校企共建</w:t>
      </w:r>
      <w:r>
        <w:rPr>
          <w:rFonts w:hint="eastAsia" w:ascii="仿宋_GB2312" w:hAnsi="仿宋_GB2312" w:eastAsia="仿宋_GB2312" w:cs="仿宋_GB2312"/>
          <w:color w:val="auto"/>
          <w:sz w:val="32"/>
          <w:szCs w:val="32"/>
        </w:rPr>
        <w:t>校外实习基地</w:t>
      </w:r>
      <w:r>
        <w:rPr>
          <w:rFonts w:hint="eastAsia" w:ascii="仿宋_GB2312" w:hAnsi="仿宋_GB2312" w:eastAsia="仿宋_GB2312" w:cs="仿宋_GB2312"/>
          <w:color w:val="auto"/>
          <w:sz w:val="32"/>
          <w:szCs w:val="32"/>
          <w:lang w:val="en-US" w:eastAsia="zh-CN"/>
        </w:rPr>
        <w:t>216</w:t>
      </w:r>
      <w:r>
        <w:rPr>
          <w:rFonts w:hint="eastAsia" w:ascii="仿宋_GB2312" w:hAnsi="仿宋_GB2312" w:eastAsia="仿宋_GB2312" w:cs="仿宋_GB2312"/>
          <w:color w:val="auto"/>
          <w:sz w:val="32"/>
          <w:szCs w:val="32"/>
        </w:rPr>
        <w:t>个、新商科课程包2类；获湖北省高校教学成果奖二、三等奖</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项，建成省级精品资源共享课和省级一流本科课程</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门，</w:t>
      </w:r>
      <w:r>
        <w:rPr>
          <w:rFonts w:hint="eastAsia" w:ascii="仿宋_GB2312" w:hAnsi="仿宋_GB2312" w:eastAsia="仿宋_GB2312" w:cs="仿宋_GB2312"/>
          <w:color w:val="auto"/>
          <w:sz w:val="32"/>
          <w:szCs w:val="32"/>
          <w:lang w:val="en-US" w:eastAsia="zh-CN"/>
        </w:rPr>
        <w:t>出版专著26本，</w:t>
      </w:r>
      <w:r>
        <w:rPr>
          <w:rFonts w:hint="eastAsia" w:ascii="仿宋_GB2312" w:hAnsi="仿宋_GB2312" w:eastAsia="仿宋_GB2312" w:cs="仿宋_GB2312"/>
          <w:color w:val="auto"/>
          <w:sz w:val="32"/>
          <w:szCs w:val="32"/>
        </w:rPr>
        <w:t>主编</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参编出版教材</w:t>
      </w:r>
      <w:r>
        <w:rPr>
          <w:rFonts w:hint="eastAsia" w:ascii="仿宋_GB2312" w:hAnsi="仿宋_GB2312" w:eastAsia="仿宋_GB2312" w:cs="仿宋_GB2312"/>
          <w:color w:val="auto"/>
          <w:sz w:val="32"/>
          <w:szCs w:val="32"/>
          <w:highlight w:val="none"/>
          <w:lang w:val="en-US" w:eastAsia="zh-CN"/>
        </w:rPr>
        <w:t>157</w:t>
      </w:r>
      <w:r>
        <w:rPr>
          <w:rFonts w:hint="eastAsia" w:ascii="仿宋_GB2312" w:hAnsi="仿宋_GB2312" w:eastAsia="仿宋_GB2312" w:cs="仿宋_GB2312"/>
          <w:color w:val="auto"/>
          <w:sz w:val="32"/>
          <w:szCs w:val="32"/>
        </w:rPr>
        <w:t>本，其中《融合新闻学导论》已被全国80余所高校选作本科生专业课教材。</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_GB2312" w:cs="Times New Roman"/>
          <w:color w:val="auto"/>
          <w:sz w:val="32"/>
          <w:szCs w:val="32"/>
          <w:highlight w:val="yellow"/>
        </w:rPr>
      </w:pPr>
      <w:r>
        <w:rPr>
          <w:rFonts w:hint="default" w:ascii="Times New Roman" w:hAnsi="Times New Roman" w:eastAsia="仿宋_GB2312" w:cs="Times New Roman"/>
          <w:color w:val="auto"/>
          <w:sz w:val="32"/>
          <w:szCs w:val="32"/>
        </w:rPr>
        <w:t>双创教育稳步推进。学校构建专业教育与创新创业教育相融合、课内教学与课外实践相融合的“两个融合”双创教育体系，以双创意识启迪、双创能力培养和双创实践训练等三类课程为基础、以大学生双创基金项目为驱动，以优秀指导团队为引领，以双创实训基地为载体，推进校、省、国家“普及化、进阶式”赛训，提升学生创新创业能力。获批“湖北省大学生创业示范基地”“武汉大学生创业学院”。近三年，学生获批省级以上创新创业训练计划项目136项，在各类学科竞赛中获省部级以上奖项671项，其中国家级184项。</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开放办学开拓新篇。学校持续与美国爱荷华州立大学开展夏令营互访交流活动，与澳大利亚、英国、俄罗斯等国大学签订交流合作协议，有</w:t>
      </w:r>
      <w:r>
        <w:rPr>
          <w:rFonts w:hint="default" w:ascii="Times New Roman" w:hAnsi="Times New Roman" w:eastAsia="仿宋_GB2312" w:cs="Times New Roman"/>
          <w:color w:val="auto"/>
          <w:sz w:val="32"/>
          <w:szCs w:val="32"/>
          <w:lang w:val="en-US" w:eastAsia="zh-CN"/>
        </w:rPr>
        <w:t>206</w:t>
      </w:r>
      <w:r>
        <w:rPr>
          <w:rFonts w:hint="default" w:ascii="Times New Roman" w:hAnsi="Times New Roman" w:eastAsia="仿宋_GB2312" w:cs="Times New Roman"/>
          <w:color w:val="auto"/>
          <w:sz w:val="32"/>
          <w:szCs w:val="32"/>
        </w:rPr>
        <w:t>名学生到海外实习、游学，选派</w:t>
      </w:r>
      <w:r>
        <w:rPr>
          <w:rFonts w:hint="default" w:ascii="Times New Roman" w:hAnsi="Times New Roman" w:eastAsia="仿宋_GB2312" w:cs="Times New Roman"/>
          <w:color w:val="auto"/>
          <w:sz w:val="32"/>
          <w:szCs w:val="32"/>
          <w:lang w:val="en-US" w:eastAsia="zh-CN"/>
        </w:rPr>
        <w:t>21</w:t>
      </w:r>
      <w:r>
        <w:rPr>
          <w:rFonts w:hint="default" w:ascii="Times New Roman" w:hAnsi="Times New Roman" w:eastAsia="仿宋_GB2312" w:cs="Times New Roman"/>
          <w:color w:val="auto"/>
          <w:sz w:val="32"/>
          <w:szCs w:val="32"/>
        </w:rPr>
        <w:t>名教师赴新西兰、澳大利亚培训。学校为全国台资企业人才培养基地和湖北省海峡两岸交流基地，与港澳台地区多所高校开展交流合作。</w:t>
      </w:r>
    </w:p>
    <w:p>
      <w:pPr>
        <w:pageBreakBefore w:val="0"/>
        <w:kinsoku/>
        <w:wordWrap/>
        <w:overflowPunct/>
        <w:topLinePunct w:val="0"/>
        <w:autoSpaceDE/>
        <w:autoSpaceDN/>
        <w:bidi w:val="0"/>
        <w:spacing w:line="520" w:lineRule="exact"/>
        <w:ind w:firstLine="643" w:firstLineChars="200"/>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2.师资队伍</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_GB2312" w:cs="Times New Roman"/>
          <w:color w:val="auto"/>
          <w:sz w:val="32"/>
          <w:szCs w:val="32"/>
          <w:highlight w:val="yellow"/>
        </w:rPr>
      </w:pPr>
      <w:r>
        <w:rPr>
          <w:rFonts w:hint="default" w:ascii="Times New Roman" w:hAnsi="Times New Roman" w:eastAsia="仿宋" w:cs="Times New Roman"/>
          <w:color w:val="auto"/>
          <w:sz w:val="32"/>
          <w:szCs w:val="32"/>
          <w:lang w:val="en-US" w:eastAsia="zh-CN"/>
        </w:rPr>
        <w:t>十三五末期，</w:t>
      </w:r>
      <w:r>
        <w:rPr>
          <w:rFonts w:hint="default" w:ascii="Times New Roman" w:hAnsi="Times New Roman" w:eastAsia="仿宋" w:cs="Times New Roman"/>
          <w:color w:val="auto"/>
          <w:sz w:val="32"/>
          <w:szCs w:val="32"/>
          <w:lang w:eastAsia="zh-Hans"/>
        </w:rPr>
        <w:t>学校有教师</w:t>
      </w:r>
      <w:r>
        <w:rPr>
          <w:rFonts w:hint="default" w:ascii="Times New Roman" w:hAnsi="Times New Roman" w:eastAsia="仿宋" w:cs="Times New Roman"/>
          <w:color w:val="auto"/>
          <w:sz w:val="32"/>
          <w:szCs w:val="32"/>
          <w:lang w:val="en-US" w:eastAsia="zh-CN"/>
        </w:rPr>
        <w:t>总数</w:t>
      </w:r>
      <w:r>
        <w:rPr>
          <w:rFonts w:hint="eastAsia" w:ascii="Times New Roman" w:hAnsi="Times New Roman" w:eastAsia="仿宋" w:cs="Times New Roman"/>
          <w:color w:val="auto"/>
          <w:sz w:val="32"/>
          <w:szCs w:val="32"/>
          <w:highlight w:val="none"/>
          <w:lang w:val="en-US" w:eastAsia="zh-CN"/>
        </w:rPr>
        <w:t>920</w:t>
      </w:r>
      <w:r>
        <w:rPr>
          <w:rFonts w:hint="default" w:ascii="Times New Roman" w:hAnsi="Times New Roman" w:eastAsia="仿宋" w:cs="Times New Roman"/>
          <w:color w:val="auto"/>
          <w:sz w:val="32"/>
          <w:szCs w:val="32"/>
          <w:lang w:eastAsia="zh-Hans"/>
        </w:rPr>
        <w:t>人，其中专任教师</w:t>
      </w:r>
      <w:r>
        <w:rPr>
          <w:rFonts w:hint="default" w:ascii="Times New Roman" w:hAnsi="Times New Roman" w:eastAsia="仿宋" w:cs="Times New Roman"/>
          <w:color w:val="auto"/>
          <w:sz w:val="32"/>
          <w:szCs w:val="32"/>
        </w:rPr>
        <w:t>8</w:t>
      </w:r>
      <w:r>
        <w:rPr>
          <w:rFonts w:hint="eastAsia" w:ascii="Times New Roman" w:hAnsi="Times New Roman" w:eastAsia="仿宋" w:cs="Times New Roman"/>
          <w:color w:val="auto"/>
          <w:sz w:val="32"/>
          <w:szCs w:val="32"/>
          <w:lang w:val="en-US" w:eastAsia="zh-CN"/>
        </w:rPr>
        <w:t>61</w:t>
      </w:r>
      <w:r>
        <w:rPr>
          <w:rFonts w:hint="default" w:ascii="Times New Roman" w:hAnsi="Times New Roman" w:eastAsia="仿宋" w:cs="Times New Roman"/>
          <w:color w:val="auto"/>
          <w:sz w:val="32"/>
          <w:szCs w:val="32"/>
        </w:rPr>
        <w:t>人，自有专任教</w:t>
      </w:r>
      <w:r>
        <w:rPr>
          <w:rFonts w:hint="default" w:ascii="Times New Roman" w:hAnsi="Times New Roman" w:eastAsia="仿宋" w:cs="Times New Roman"/>
          <w:color w:val="auto"/>
          <w:sz w:val="32"/>
          <w:szCs w:val="32"/>
          <w:highlight w:val="none"/>
        </w:rPr>
        <w:t>师</w:t>
      </w:r>
      <w:r>
        <w:rPr>
          <w:rFonts w:hint="eastAsia" w:ascii="Times New Roman" w:hAnsi="Times New Roman" w:eastAsia="仿宋" w:cs="Times New Roman"/>
          <w:color w:val="auto"/>
          <w:sz w:val="32"/>
          <w:szCs w:val="32"/>
          <w:highlight w:val="none"/>
          <w:lang w:val="en-US" w:eastAsia="zh-CN"/>
        </w:rPr>
        <w:t>484</w:t>
      </w:r>
      <w:r>
        <w:rPr>
          <w:rFonts w:hint="default" w:ascii="Times New Roman" w:hAnsi="Times New Roman" w:eastAsia="仿宋" w:cs="Times New Roman"/>
          <w:color w:val="auto"/>
          <w:sz w:val="32"/>
          <w:szCs w:val="32"/>
          <w:highlight w:val="none"/>
        </w:rPr>
        <w:t>人，占教师总数的5</w:t>
      </w:r>
      <w:r>
        <w:rPr>
          <w:rFonts w:hint="eastAsia" w:ascii="Times New Roman" w:hAnsi="Times New Roman" w:eastAsia="仿宋" w:cs="Times New Roman"/>
          <w:color w:val="auto"/>
          <w:sz w:val="32"/>
          <w:szCs w:val="32"/>
          <w:highlight w:val="none"/>
          <w:lang w:val="en-US" w:eastAsia="zh-CN"/>
        </w:rPr>
        <w:t>2.61</w:t>
      </w:r>
      <w:r>
        <w:rPr>
          <w:rFonts w:hint="default" w:ascii="Times New Roman" w:hAnsi="Times New Roman" w:eastAsia="仿宋" w:cs="Times New Roman"/>
          <w:color w:val="auto"/>
          <w:sz w:val="32"/>
          <w:szCs w:val="32"/>
        </w:rPr>
        <w:t>%；专任教师中，博士学位教师</w:t>
      </w:r>
      <w:r>
        <w:rPr>
          <w:rFonts w:hint="eastAsia" w:ascii="Times New Roman" w:hAnsi="Times New Roman" w:eastAsia="仿宋" w:cs="Times New Roman"/>
          <w:color w:val="auto"/>
          <w:sz w:val="32"/>
          <w:szCs w:val="32"/>
          <w:lang w:val="en-US" w:eastAsia="zh-CN"/>
        </w:rPr>
        <w:t>179</w:t>
      </w:r>
      <w:r>
        <w:rPr>
          <w:rFonts w:hint="default" w:ascii="Times New Roman" w:hAnsi="Times New Roman" w:eastAsia="仿宋" w:cs="Times New Roman"/>
          <w:color w:val="auto"/>
          <w:sz w:val="32"/>
          <w:szCs w:val="32"/>
        </w:rPr>
        <w:t>人，占20.7</w:t>
      </w:r>
      <w:r>
        <w:rPr>
          <w:rFonts w:hint="eastAsia" w:ascii="Times New Roman" w:hAnsi="Times New Roman" w:eastAsia="仿宋" w:cs="Times New Roman"/>
          <w:color w:val="auto"/>
          <w:sz w:val="32"/>
          <w:szCs w:val="32"/>
          <w:lang w:val="en-US" w:eastAsia="zh-CN"/>
        </w:rPr>
        <w:t>9</w:t>
      </w:r>
      <w:r>
        <w:rPr>
          <w:rFonts w:hint="default" w:ascii="Times New Roman" w:hAnsi="Times New Roman" w:eastAsia="仿宋" w:cs="Times New Roman"/>
          <w:color w:val="auto"/>
          <w:sz w:val="32"/>
          <w:szCs w:val="32"/>
        </w:rPr>
        <w:t>%，副高级及以上职称</w:t>
      </w:r>
      <w:r>
        <w:rPr>
          <w:rFonts w:hint="default" w:ascii="Times New Roman" w:hAnsi="Times New Roman" w:eastAsia="仿宋" w:cs="Times New Roman"/>
          <w:color w:val="auto"/>
          <w:sz w:val="32"/>
          <w:szCs w:val="32"/>
          <w:highlight w:val="none"/>
        </w:rPr>
        <w:t>4</w:t>
      </w:r>
      <w:r>
        <w:rPr>
          <w:rFonts w:hint="eastAsia" w:ascii="Times New Roman" w:hAnsi="Times New Roman" w:eastAsia="仿宋" w:cs="Times New Roman"/>
          <w:color w:val="auto"/>
          <w:sz w:val="32"/>
          <w:szCs w:val="32"/>
          <w:highlight w:val="none"/>
          <w:lang w:val="en-US" w:eastAsia="zh-CN"/>
        </w:rPr>
        <w:t>64</w:t>
      </w:r>
      <w:r>
        <w:rPr>
          <w:rFonts w:hint="default" w:ascii="Times New Roman" w:hAnsi="Times New Roman" w:eastAsia="仿宋" w:cs="Times New Roman"/>
          <w:color w:val="auto"/>
          <w:sz w:val="32"/>
          <w:szCs w:val="32"/>
          <w:highlight w:val="none"/>
        </w:rPr>
        <w:t>人，占53.</w:t>
      </w:r>
      <w:r>
        <w:rPr>
          <w:rFonts w:hint="eastAsia" w:ascii="Times New Roman" w:hAnsi="Times New Roman" w:eastAsia="仿宋" w:cs="Times New Roman"/>
          <w:color w:val="auto"/>
          <w:sz w:val="32"/>
          <w:szCs w:val="32"/>
          <w:highlight w:val="none"/>
          <w:lang w:val="en-US" w:eastAsia="zh-CN"/>
        </w:rPr>
        <w:t>89</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eastAsia="zh-CN"/>
        </w:rPr>
        <w:t>，</w:t>
      </w:r>
      <w:r>
        <w:rPr>
          <w:rFonts w:hint="default" w:ascii="Times New Roman" w:hAnsi="Times New Roman" w:eastAsia="仿宋_GB2312" w:cs="Times New Roman"/>
          <w:color w:val="auto"/>
          <w:sz w:val="32"/>
          <w:szCs w:val="32"/>
        </w:rPr>
        <w:t>“双师双能型”教师占</w:t>
      </w:r>
      <w:r>
        <w:rPr>
          <w:rFonts w:hint="eastAsia" w:ascii="Times New Roman" w:hAnsi="Times New Roman" w:eastAsia="仿宋_GB2312" w:cs="Times New Roman"/>
          <w:color w:val="auto"/>
          <w:sz w:val="32"/>
          <w:szCs w:val="32"/>
          <w:lang w:val="en-US" w:eastAsia="zh-CN"/>
        </w:rPr>
        <w:t>28.22</w:t>
      </w:r>
      <w:r>
        <w:rPr>
          <w:rFonts w:hint="default" w:ascii="Times New Roman" w:hAnsi="Times New Roman" w:eastAsia="仿宋_GB2312" w:cs="Times New Roman"/>
          <w:color w:val="auto"/>
          <w:sz w:val="32"/>
          <w:szCs w:val="32"/>
        </w:rPr>
        <w:t>%。</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“十三五”期间，学校引进</w:t>
      </w:r>
      <w:r>
        <w:rPr>
          <w:rFonts w:hint="default" w:ascii="Times New Roman" w:hAnsi="Times New Roman" w:eastAsia="仿宋_GB2312" w:cs="Times New Roman"/>
          <w:color w:val="auto"/>
          <w:sz w:val="32"/>
          <w:szCs w:val="32"/>
        </w:rPr>
        <w:t>享受国务院特殊津贴专家3人、</w:t>
      </w:r>
      <w:r>
        <w:rPr>
          <w:rFonts w:hint="default" w:ascii="Times New Roman" w:hAnsi="Times New Roman" w:eastAsia="仿宋_GB2312" w:cs="Times New Roman"/>
          <w:color w:val="auto"/>
          <w:sz w:val="32"/>
          <w:szCs w:val="32"/>
          <w:lang w:val="en-US" w:eastAsia="zh-CN"/>
        </w:rPr>
        <w:t>国家</w:t>
      </w:r>
      <w:r>
        <w:rPr>
          <w:rFonts w:hint="default" w:ascii="Times New Roman" w:hAnsi="Times New Roman" w:eastAsia="仿宋_GB2312" w:cs="Times New Roman"/>
          <w:color w:val="auto"/>
          <w:sz w:val="32"/>
          <w:szCs w:val="32"/>
        </w:rPr>
        <w:t>百千万人才工程1人、国家级教学名师1人、省部级有突出贡献中青年专家2人、楚天学子1人；</w:t>
      </w:r>
      <w:r>
        <w:rPr>
          <w:rFonts w:hint="default" w:ascii="Times New Roman" w:hAnsi="Times New Roman" w:eastAsia="仿宋" w:cs="Times New Roman"/>
          <w:color w:val="auto"/>
          <w:sz w:val="32"/>
          <w:szCs w:val="32"/>
        </w:rPr>
        <w:t>引进教师249名，其中高级职称教师67人，博士学位教师35人；培养中青年骨干教师35名，选送在职攻读博士学位11名，选派参加国内外知名高校、研究机构访学教师38名，晋升高一级职称</w:t>
      </w:r>
      <w:r>
        <w:rPr>
          <w:rFonts w:hint="default" w:ascii="Times New Roman" w:hAnsi="Times New Roman" w:eastAsia="仿宋" w:cs="Times New Roman"/>
          <w:color w:val="auto"/>
          <w:sz w:val="32"/>
          <w:szCs w:val="32"/>
          <w:lang w:val="en-US" w:eastAsia="zh-CN"/>
        </w:rPr>
        <w:t>353</w:t>
      </w:r>
      <w:r>
        <w:rPr>
          <w:rFonts w:hint="default" w:ascii="Times New Roman" w:hAnsi="Times New Roman" w:eastAsia="仿宋" w:cs="Times New Roman"/>
          <w:color w:val="auto"/>
          <w:sz w:val="32"/>
          <w:szCs w:val="32"/>
        </w:rPr>
        <w:t>人次</w:t>
      </w:r>
      <w:r>
        <w:rPr>
          <w:rFonts w:hint="default" w:ascii="Times New Roman" w:hAnsi="Times New Roman" w:eastAsia="仿宋_GB2312" w:cs="Times New Roman"/>
          <w:color w:val="auto"/>
          <w:sz w:val="32"/>
          <w:szCs w:val="32"/>
        </w:rPr>
        <w:t>；获评</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个省级教学团队、</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个省级基层教学组织和3个省级科技创新团队；</w:t>
      </w:r>
      <w:r>
        <w:rPr>
          <w:rFonts w:hint="default" w:ascii="Times New Roman" w:hAnsi="Times New Roman" w:eastAsia="仿宋" w:cs="Times New Roman"/>
          <w:color w:val="auto"/>
          <w:sz w:val="32"/>
          <w:szCs w:val="32"/>
        </w:rPr>
        <w:t>涌现出一批湖北省师德先进个人、荆楚好老师等师德楷模。</w:t>
      </w:r>
    </w:p>
    <w:p>
      <w:pPr>
        <w:pageBreakBefore w:val="0"/>
        <w:kinsoku/>
        <w:wordWrap/>
        <w:overflowPunct/>
        <w:topLinePunct w:val="0"/>
        <w:autoSpaceDE/>
        <w:autoSpaceDN/>
        <w:bidi w:val="0"/>
        <w:spacing w:line="520" w:lineRule="exact"/>
        <w:ind w:firstLine="643" w:firstLineChars="200"/>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3.科学研究</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“十三五”期间，学校承担横向项目111项，合同金额累计近1500万元，纵向课题 97项；</w:t>
      </w:r>
      <w:r>
        <w:rPr>
          <w:rFonts w:hint="default" w:ascii="Times New Roman" w:hAnsi="Times New Roman" w:eastAsia="仿宋_GB2312" w:cs="Times New Roman"/>
          <w:color w:val="auto"/>
          <w:sz w:val="32"/>
          <w:szCs w:val="32"/>
        </w:rPr>
        <w:t>立项建设智能建造、智能传播、智慧测评等</w:t>
      </w:r>
      <w:r>
        <w:rPr>
          <w:rFonts w:hint="default" w:ascii="Times New Roman" w:hAnsi="Times New Roman" w:eastAsia="仿宋" w:cs="Times New Roman"/>
          <w:color w:val="auto"/>
          <w:sz w:val="32"/>
          <w:szCs w:val="32"/>
        </w:rPr>
        <w:t>9个校级科研创新团队，其中获批省级科研创新团队3个；获</w:t>
      </w:r>
      <w:r>
        <w:rPr>
          <w:rFonts w:hint="default" w:ascii="Times New Roman" w:hAnsi="Times New Roman" w:eastAsia="仿宋" w:cs="Times New Roman"/>
          <w:color w:val="auto"/>
          <w:sz w:val="32"/>
          <w:szCs w:val="32"/>
          <w:lang w:eastAsia="zh-Hans"/>
        </w:rPr>
        <w:t>得</w:t>
      </w:r>
      <w:r>
        <w:rPr>
          <w:rFonts w:hint="default" w:ascii="Times New Roman" w:hAnsi="Times New Roman" w:eastAsia="仿宋" w:cs="Times New Roman"/>
          <w:color w:val="auto"/>
          <w:sz w:val="32"/>
          <w:szCs w:val="32"/>
        </w:rPr>
        <w:t>国家自然科学基金项目2项，省自</w:t>
      </w:r>
      <w:r>
        <w:rPr>
          <w:rFonts w:hint="default" w:ascii="Times New Roman" w:hAnsi="Times New Roman" w:eastAsia="仿宋" w:cs="Times New Roman"/>
          <w:color w:val="auto"/>
          <w:sz w:val="32"/>
          <w:szCs w:val="32"/>
          <w:lang w:eastAsia="zh-Hans"/>
        </w:rPr>
        <w:t>然</w:t>
      </w:r>
      <w:r>
        <w:rPr>
          <w:rFonts w:hint="default" w:ascii="Times New Roman" w:hAnsi="Times New Roman" w:eastAsia="仿宋" w:cs="Times New Roman"/>
          <w:color w:val="auto"/>
          <w:sz w:val="32"/>
          <w:szCs w:val="32"/>
        </w:rPr>
        <w:t>科</w:t>
      </w:r>
      <w:r>
        <w:rPr>
          <w:rFonts w:hint="default" w:ascii="Times New Roman" w:hAnsi="Times New Roman" w:eastAsia="仿宋" w:cs="Times New Roman"/>
          <w:color w:val="auto"/>
          <w:sz w:val="32"/>
          <w:szCs w:val="32"/>
          <w:lang w:eastAsia="zh-Hans"/>
        </w:rPr>
        <w:t>学</w:t>
      </w:r>
      <w:r>
        <w:rPr>
          <w:rFonts w:hint="default" w:ascii="Times New Roman" w:hAnsi="Times New Roman" w:eastAsia="仿宋" w:cs="Times New Roman"/>
          <w:color w:val="auto"/>
          <w:sz w:val="32"/>
          <w:szCs w:val="32"/>
        </w:rPr>
        <w:t>及社</w:t>
      </w:r>
      <w:r>
        <w:rPr>
          <w:rFonts w:hint="default" w:ascii="Times New Roman" w:hAnsi="Times New Roman" w:eastAsia="仿宋" w:cs="Times New Roman"/>
          <w:color w:val="auto"/>
          <w:sz w:val="32"/>
          <w:szCs w:val="32"/>
          <w:lang w:eastAsia="zh-Hans"/>
        </w:rPr>
        <w:t>会</w:t>
      </w:r>
      <w:r>
        <w:rPr>
          <w:rFonts w:hint="default" w:ascii="Times New Roman" w:hAnsi="Times New Roman" w:eastAsia="仿宋" w:cs="Times New Roman"/>
          <w:color w:val="auto"/>
          <w:sz w:val="32"/>
          <w:szCs w:val="32"/>
        </w:rPr>
        <w:t>科</w:t>
      </w:r>
      <w:r>
        <w:rPr>
          <w:rFonts w:hint="default" w:ascii="Times New Roman" w:hAnsi="Times New Roman" w:eastAsia="仿宋" w:cs="Times New Roman"/>
          <w:color w:val="auto"/>
          <w:sz w:val="32"/>
          <w:szCs w:val="32"/>
          <w:lang w:eastAsia="zh-Hans"/>
        </w:rPr>
        <w:t>学</w:t>
      </w:r>
      <w:r>
        <w:rPr>
          <w:rFonts w:hint="default" w:ascii="Times New Roman" w:hAnsi="Times New Roman" w:eastAsia="仿宋" w:cs="Times New Roman"/>
          <w:color w:val="auto"/>
          <w:sz w:val="32"/>
          <w:szCs w:val="32"/>
        </w:rPr>
        <w:t>基金项目11项；教师发表核心期刊论文162篇，其中SCI检索18篇，EI检索7篇，</w:t>
      </w:r>
      <w:r>
        <w:rPr>
          <w:rFonts w:hint="default" w:ascii="Times New Roman" w:hAnsi="Times New Roman" w:eastAsia="仿宋_GB2312" w:cs="Times New Roman"/>
          <w:color w:val="auto"/>
          <w:sz w:val="32"/>
          <w:szCs w:val="32"/>
        </w:rPr>
        <w:t>出版学术专著</w:t>
      </w:r>
      <w:r>
        <w:rPr>
          <w:rFonts w:hint="default" w:ascii="Times New Roman" w:hAnsi="Times New Roman" w:eastAsia="仿宋_GB2312" w:cs="Times New Roman"/>
          <w:color w:val="auto"/>
          <w:sz w:val="32"/>
          <w:szCs w:val="32"/>
          <w:highlight w:val="none"/>
          <w:lang w:val="en-US" w:eastAsia="zh-CN"/>
        </w:rPr>
        <w:t>26</w:t>
      </w:r>
      <w:r>
        <w:rPr>
          <w:rFonts w:hint="default" w:ascii="Times New Roman" w:hAnsi="Times New Roman" w:eastAsia="仿宋_GB2312" w:cs="Times New Roman"/>
          <w:color w:val="auto"/>
          <w:sz w:val="32"/>
          <w:szCs w:val="32"/>
        </w:rPr>
        <w:t>部；</w:t>
      </w:r>
      <w:r>
        <w:rPr>
          <w:rFonts w:hint="default" w:ascii="Times New Roman" w:hAnsi="Times New Roman" w:eastAsia="仿宋" w:cs="Times New Roman"/>
          <w:color w:val="auto"/>
          <w:sz w:val="32"/>
          <w:szCs w:val="32"/>
        </w:rPr>
        <w:t>教师取得发明专利7项，实用新型专利5项，外观设计专利4项，软件著作权</w:t>
      </w:r>
      <w:r>
        <w:rPr>
          <w:rFonts w:hint="default" w:ascii="Times New Roman" w:hAnsi="Times New Roman" w:eastAsia="仿宋" w:cs="Times New Roman"/>
          <w:color w:val="auto"/>
          <w:sz w:val="32"/>
          <w:szCs w:val="32"/>
          <w:lang w:val="en-US" w:eastAsia="zh-CN"/>
        </w:rPr>
        <w:t>64</w:t>
      </w:r>
      <w:r>
        <w:rPr>
          <w:rFonts w:hint="default" w:ascii="Times New Roman" w:hAnsi="Times New Roman" w:eastAsia="仿宋" w:cs="Times New Roman"/>
          <w:color w:val="auto"/>
          <w:sz w:val="32"/>
          <w:szCs w:val="32"/>
        </w:rPr>
        <w:t>项；获湖北省科技进步奖2项；获武汉市研成果就地转化奖1项。科学研究成果数量和质量领先全省同类高校。</w:t>
      </w:r>
    </w:p>
    <w:p>
      <w:pPr>
        <w:pageBreakBefore w:val="0"/>
        <w:kinsoku/>
        <w:wordWrap/>
        <w:overflowPunct/>
        <w:topLinePunct w:val="0"/>
        <w:autoSpaceDE/>
        <w:autoSpaceDN/>
        <w:bidi w:val="0"/>
        <w:spacing w:line="520" w:lineRule="exact"/>
        <w:ind w:firstLine="643" w:firstLineChars="200"/>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4.办学条件</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_GB2312" w:cs="Times New Roman"/>
          <w:color w:val="auto"/>
          <w:sz w:val="32"/>
          <w:szCs w:val="32"/>
          <w:highlight w:val="yellow"/>
        </w:rPr>
      </w:pPr>
      <w:r>
        <w:rPr>
          <w:rFonts w:hint="default" w:ascii="Times New Roman" w:hAnsi="Times New Roman" w:eastAsia="仿宋" w:cs="Times New Roman"/>
          <w:color w:val="auto"/>
          <w:sz w:val="32"/>
          <w:szCs w:val="32"/>
          <w:lang w:eastAsia="zh-Hans"/>
        </w:rPr>
        <w:t>“</w:t>
      </w:r>
      <w:r>
        <w:rPr>
          <w:rFonts w:hint="default" w:ascii="Times New Roman" w:hAnsi="Times New Roman" w:eastAsia="仿宋" w:cs="Times New Roman"/>
          <w:color w:val="auto"/>
          <w:sz w:val="32"/>
          <w:szCs w:val="32"/>
        </w:rPr>
        <w:t>十三五</w:t>
      </w:r>
      <w:r>
        <w:rPr>
          <w:rFonts w:hint="default" w:ascii="Times New Roman" w:hAnsi="Times New Roman" w:eastAsia="仿宋" w:cs="Times New Roman"/>
          <w:color w:val="auto"/>
          <w:sz w:val="32"/>
          <w:szCs w:val="32"/>
          <w:lang w:eastAsia="zh-Hans"/>
        </w:rPr>
        <w:t>”</w:t>
      </w:r>
      <w:r>
        <w:rPr>
          <w:rFonts w:hint="default" w:ascii="Times New Roman" w:hAnsi="Times New Roman" w:eastAsia="仿宋" w:cs="Times New Roman"/>
          <w:color w:val="auto"/>
          <w:sz w:val="32"/>
          <w:szCs w:val="32"/>
        </w:rPr>
        <w:t>期间，新建嘉鱼校区750672.16平方米，建设各类教学、生活用房18.8万平方米，教学科研仪器设备总值</w:t>
      </w:r>
      <w:r>
        <w:rPr>
          <w:rFonts w:hint="default" w:ascii="Times New Roman" w:hAnsi="Times New Roman" w:eastAsia="仿宋" w:cs="Times New Roman"/>
          <w:color w:val="auto"/>
          <w:sz w:val="32"/>
          <w:szCs w:val="32"/>
          <w:lang w:eastAsia="zh-Hans"/>
        </w:rPr>
        <w:t>达到</w:t>
      </w:r>
      <w:r>
        <w:rPr>
          <w:rFonts w:hint="default" w:ascii="Times New Roman" w:hAnsi="Times New Roman" w:eastAsia="仿宋" w:cs="Times New Roman"/>
          <w:color w:val="auto"/>
          <w:sz w:val="32"/>
          <w:szCs w:val="32"/>
        </w:rPr>
        <w:t>10662.66万元，生均教学科研仪器设备值6580.67元。</w:t>
      </w:r>
      <w:r>
        <w:rPr>
          <w:rFonts w:hint="default" w:ascii="Times New Roman" w:hAnsi="Times New Roman" w:eastAsia="仿宋_GB2312" w:cs="Times New Roman"/>
          <w:color w:val="auto"/>
          <w:sz w:val="32"/>
          <w:szCs w:val="32"/>
        </w:rPr>
        <w:t>获批省级实习实训基地</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个，省级大学生创业示范基地1个。</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学校</w:t>
      </w:r>
      <w:r>
        <w:rPr>
          <w:rFonts w:hint="default" w:ascii="Times New Roman" w:hAnsi="Times New Roman" w:eastAsia="仿宋" w:cs="Times New Roman"/>
          <w:color w:val="auto"/>
          <w:sz w:val="32"/>
          <w:szCs w:val="32"/>
          <w:lang w:eastAsia="zh-Hans"/>
        </w:rPr>
        <w:t>信息化与图书馆建设投入超过</w:t>
      </w:r>
      <w:r>
        <w:rPr>
          <w:rFonts w:hint="default" w:ascii="Times New Roman" w:hAnsi="Times New Roman" w:eastAsia="仿宋" w:cs="Times New Roman"/>
          <w:color w:val="auto"/>
          <w:sz w:val="32"/>
          <w:szCs w:val="32"/>
        </w:rPr>
        <w:t>1000万元，</w:t>
      </w:r>
      <w:r>
        <w:rPr>
          <w:rFonts w:hint="default" w:ascii="Times New Roman" w:hAnsi="Times New Roman" w:eastAsia="仿宋" w:cs="Times New Roman"/>
          <w:color w:val="auto"/>
          <w:sz w:val="32"/>
          <w:szCs w:val="32"/>
          <w:lang w:eastAsia="zh-Hans"/>
        </w:rPr>
        <w:t>其中：</w:t>
      </w:r>
      <w:r>
        <w:rPr>
          <w:rFonts w:hint="default" w:ascii="Times New Roman" w:hAnsi="Times New Roman" w:eastAsia="仿宋_GB2312" w:cs="Times New Roman"/>
          <w:color w:val="auto"/>
          <w:sz w:val="32"/>
          <w:szCs w:val="32"/>
        </w:rPr>
        <w:t>图书馆馆藏纸质图书</w:t>
      </w:r>
      <w:r>
        <w:rPr>
          <w:rFonts w:hint="default" w:ascii="Times New Roman" w:hAnsi="Times New Roman" w:eastAsia="仿宋_GB2312" w:cs="Times New Roman"/>
          <w:color w:val="auto"/>
          <w:sz w:val="32"/>
          <w:szCs w:val="32"/>
          <w:lang w:val="en-US" w:eastAsia="zh-CN"/>
        </w:rPr>
        <w:t>160.99</w:t>
      </w:r>
      <w:r>
        <w:rPr>
          <w:rFonts w:hint="default" w:ascii="Times New Roman" w:hAnsi="Times New Roman" w:eastAsia="仿宋_GB2312" w:cs="Times New Roman"/>
          <w:color w:val="auto"/>
          <w:sz w:val="32"/>
          <w:szCs w:val="32"/>
        </w:rPr>
        <w:t>万册、</w:t>
      </w:r>
      <w:r>
        <w:rPr>
          <w:rFonts w:hint="default" w:ascii="Times New Roman" w:hAnsi="Times New Roman" w:eastAsia="仿宋" w:cs="Times New Roman"/>
          <w:bCs/>
          <w:color w:val="auto"/>
          <w:sz w:val="32"/>
          <w:szCs w:val="32"/>
        </w:rPr>
        <w:t>电子期刊103万余册，电子学位论文154万余篇，音视频资源37702小时</w:t>
      </w:r>
      <w:r>
        <w:rPr>
          <w:rFonts w:hint="default" w:ascii="Times New Roman" w:hAnsi="Times New Roman" w:eastAsia="仿宋" w:cs="Times New Roman"/>
          <w:bCs/>
          <w:color w:val="auto"/>
          <w:sz w:val="32"/>
          <w:szCs w:val="32"/>
          <w:lang w:eastAsia="zh-CN"/>
        </w:rPr>
        <w:t>，</w:t>
      </w:r>
      <w:r>
        <w:rPr>
          <w:rFonts w:hint="default" w:ascii="Times New Roman" w:hAnsi="Times New Roman" w:eastAsia="仿宋" w:cs="Times New Roman"/>
          <w:color w:val="auto"/>
          <w:sz w:val="32"/>
          <w:szCs w:val="32"/>
        </w:rPr>
        <w:t>新增数据库31个，加入中国高等学校机构知识库联盟，学校的“机构知识库”初步建成。</w:t>
      </w:r>
      <w:r>
        <w:rPr>
          <w:rFonts w:hint="default" w:ascii="Times New Roman" w:hAnsi="Times New Roman" w:eastAsia="仿宋_GB2312" w:cs="Times New Roman"/>
          <w:color w:val="auto"/>
          <w:sz w:val="32"/>
          <w:szCs w:val="32"/>
        </w:rPr>
        <w:t>校园共计铺设</w:t>
      </w:r>
      <w:r>
        <w:rPr>
          <w:rFonts w:hint="default" w:ascii="Times New Roman" w:hAnsi="Times New Roman" w:eastAsia="仿宋" w:cs="Times New Roman"/>
          <w:color w:val="auto"/>
          <w:sz w:val="32"/>
          <w:szCs w:val="32"/>
        </w:rPr>
        <w:t>光缆总里程70公里，信息点2.9万余个，初步建成数据中心，部分系统间实现数据交换。</w:t>
      </w:r>
      <w:r>
        <w:rPr>
          <w:rFonts w:hint="default" w:ascii="Times New Roman" w:hAnsi="Times New Roman" w:eastAsia="仿宋_GB2312" w:cs="Times New Roman"/>
          <w:color w:val="auto"/>
          <w:spacing w:val="-4"/>
          <w:sz w:val="32"/>
          <w:szCs w:val="32"/>
        </w:rPr>
        <w:t>校园网万兆骨干、千兆到楼、百兆到桌面，实现了校区内网络全覆盖。</w:t>
      </w:r>
    </w:p>
    <w:p>
      <w:pPr>
        <w:pageBreakBefore w:val="0"/>
        <w:kinsoku/>
        <w:wordWrap/>
        <w:overflowPunct/>
        <w:topLinePunct w:val="0"/>
        <w:autoSpaceDE/>
        <w:autoSpaceDN/>
        <w:bidi w:val="0"/>
        <w:spacing w:line="520" w:lineRule="exact"/>
        <w:ind w:firstLine="643" w:firstLineChars="200"/>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5.治理体系</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学校坚持理事会领导下的校长负责制，不断完善学术委员会、学位评定委员会与教学指导委员会的职责和功能，各司其职，进一步优化现代大学治理结构。</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lang w:eastAsia="zh-Hans"/>
        </w:rPr>
        <w:t>围绕大学治理能力提升，相继开展一系列内部管理改革，</w:t>
      </w:r>
      <w:r>
        <w:rPr>
          <w:rFonts w:hint="default" w:ascii="Times New Roman" w:hAnsi="Times New Roman" w:eastAsia="仿宋" w:cs="Times New Roman"/>
          <w:color w:val="auto"/>
          <w:sz w:val="32"/>
          <w:szCs w:val="32"/>
        </w:rPr>
        <w:t>出台与修订</w:t>
      </w:r>
      <w:r>
        <w:rPr>
          <w:rFonts w:hint="eastAsia" w:ascii="Times New Roman" w:hAnsi="Times New Roman" w:eastAsia="仿宋" w:cs="Times New Roman"/>
          <w:color w:val="auto"/>
          <w:sz w:val="32"/>
          <w:szCs w:val="32"/>
          <w:lang w:val="en-US" w:eastAsia="zh-CN"/>
        </w:rPr>
        <w:t>党建、</w:t>
      </w:r>
      <w:r>
        <w:rPr>
          <w:rFonts w:hint="default" w:ascii="Times New Roman" w:hAnsi="Times New Roman" w:eastAsia="仿宋" w:cs="Times New Roman"/>
          <w:color w:val="auto"/>
          <w:sz w:val="32"/>
          <w:szCs w:val="32"/>
          <w:lang w:eastAsia="zh-Hans"/>
        </w:rPr>
        <w:t>行政、教学、科研、师资队伍建设等</w:t>
      </w:r>
      <w:r>
        <w:rPr>
          <w:rFonts w:hint="default" w:ascii="Times New Roman" w:hAnsi="Times New Roman" w:eastAsia="仿宋" w:cs="Times New Roman"/>
          <w:color w:val="auto"/>
          <w:sz w:val="32"/>
          <w:szCs w:val="32"/>
        </w:rPr>
        <w:t>7大类2</w:t>
      </w:r>
      <w:r>
        <w:rPr>
          <w:rFonts w:hint="eastAsia" w:ascii="Times New Roman" w:hAnsi="Times New Roman" w:eastAsia="仿宋" w:cs="Times New Roman"/>
          <w:color w:val="auto"/>
          <w:sz w:val="32"/>
          <w:szCs w:val="32"/>
          <w:lang w:val="en-US" w:eastAsia="zh-CN"/>
        </w:rPr>
        <w:t>86</w:t>
      </w:r>
      <w:r>
        <w:rPr>
          <w:rFonts w:hint="default" w:ascii="Times New Roman" w:hAnsi="Times New Roman" w:eastAsia="仿宋" w:cs="Times New Roman"/>
          <w:color w:val="auto"/>
          <w:sz w:val="32"/>
          <w:szCs w:val="32"/>
        </w:rPr>
        <w:t>项规章制度，</w:t>
      </w:r>
      <w:r>
        <w:rPr>
          <w:rFonts w:hint="default" w:ascii="Times New Roman" w:hAnsi="Times New Roman" w:eastAsia="仿宋" w:cs="Times New Roman"/>
          <w:color w:val="auto"/>
          <w:sz w:val="32"/>
          <w:szCs w:val="32"/>
          <w:lang w:eastAsia="zh-Hans"/>
        </w:rPr>
        <w:t>基本确立具有首义特色、符合办学规律的现代大学制度。</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lang w:eastAsia="zh-Hans"/>
        </w:rPr>
        <w:t>进一步</w:t>
      </w:r>
      <w:r>
        <w:rPr>
          <w:rFonts w:hint="default" w:ascii="Times New Roman" w:hAnsi="Times New Roman" w:eastAsia="仿宋" w:cs="Times New Roman"/>
          <w:color w:val="auto"/>
          <w:sz w:val="32"/>
          <w:szCs w:val="32"/>
        </w:rPr>
        <w:t>凝练学校发展理念，</w:t>
      </w:r>
      <w:r>
        <w:rPr>
          <w:rFonts w:hint="default" w:ascii="Times New Roman" w:hAnsi="Times New Roman" w:eastAsia="仿宋" w:cs="Times New Roman"/>
          <w:color w:val="auto"/>
          <w:sz w:val="32"/>
          <w:szCs w:val="32"/>
          <w:lang w:eastAsia="zh-Hans"/>
        </w:rPr>
        <w:t>升级以校训、学校精神、办学理念</w:t>
      </w:r>
      <w:r>
        <w:rPr>
          <w:rFonts w:hint="default" w:ascii="Times New Roman" w:hAnsi="Times New Roman" w:eastAsia="仿宋" w:cs="Times New Roman"/>
          <w:color w:val="auto"/>
          <w:sz w:val="32"/>
          <w:szCs w:val="32"/>
        </w:rPr>
        <w:t>、校风</w:t>
      </w:r>
      <w:r>
        <w:rPr>
          <w:rFonts w:hint="default" w:ascii="Times New Roman" w:hAnsi="Times New Roman" w:eastAsia="仿宋" w:cs="Times New Roman"/>
          <w:color w:val="auto"/>
          <w:sz w:val="32"/>
          <w:szCs w:val="32"/>
          <w:lang w:eastAsia="zh-Hans"/>
        </w:rPr>
        <w:t>等为核心的校园文化体系，</w:t>
      </w:r>
      <w:r>
        <w:rPr>
          <w:rFonts w:hint="default" w:ascii="Times New Roman" w:hAnsi="Times New Roman" w:eastAsia="仿宋" w:cs="Times New Roman"/>
          <w:color w:val="auto"/>
          <w:sz w:val="32"/>
          <w:szCs w:val="32"/>
        </w:rPr>
        <w:t>进一步彰显了首义特色的学校文化，引导、规范师生行为。</w:t>
      </w:r>
    </w:p>
    <w:p>
      <w:pPr>
        <w:pageBreakBefore w:val="0"/>
        <w:kinsoku/>
        <w:wordWrap/>
        <w:overflowPunct/>
        <w:topLinePunct w:val="0"/>
        <w:autoSpaceDE/>
        <w:autoSpaceDN/>
        <w:bidi w:val="0"/>
        <w:spacing w:line="520" w:lineRule="exact"/>
        <w:ind w:firstLine="643" w:firstLineChars="200"/>
        <w:rPr>
          <w:rFonts w:hint="default" w:ascii="Times New Roman" w:hAnsi="Times New Roman" w:eastAsia="仿宋" w:cs="Times New Roman"/>
          <w:b/>
          <w:bCs/>
          <w:color w:val="auto"/>
          <w:sz w:val="32"/>
          <w:szCs w:val="32"/>
          <w:lang w:eastAsia="zh-Hans"/>
        </w:rPr>
      </w:pPr>
      <w:r>
        <w:rPr>
          <w:rFonts w:hint="default" w:ascii="Times New Roman" w:hAnsi="Times New Roman" w:eastAsia="仿宋" w:cs="Times New Roman"/>
          <w:b/>
          <w:bCs/>
          <w:color w:val="auto"/>
          <w:sz w:val="32"/>
          <w:szCs w:val="32"/>
          <w:lang w:eastAsia="zh-Hans"/>
        </w:rPr>
        <w:t>6.党建与思政工作</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lang w:eastAsia="zh-Hans"/>
        </w:rPr>
      </w:pPr>
      <w:r>
        <w:rPr>
          <w:rFonts w:hint="default" w:ascii="Times New Roman" w:hAnsi="Times New Roman" w:eastAsia="仿宋" w:cs="Times New Roman"/>
          <w:color w:val="auto"/>
          <w:sz w:val="32"/>
          <w:szCs w:val="32"/>
        </w:rPr>
        <w:t>“十三五”期间，以强化政治建设为统领，全面加强新时代党的领导，构建理论学习、党性教育长效机制，</w:t>
      </w:r>
      <w:r>
        <w:rPr>
          <w:rFonts w:hint="default" w:ascii="Times New Roman" w:hAnsi="Times New Roman" w:eastAsia="仿宋" w:cs="Times New Roman"/>
          <w:color w:val="auto"/>
          <w:sz w:val="32"/>
          <w:szCs w:val="32"/>
          <w:lang w:eastAsia="zh-Hans"/>
        </w:rPr>
        <w:t>学校先后获评湖北省先进基层党组织、团中央高校活力团支部、省级文明单位（校园）、湖北省平安校园、湖北省大学生思想政治教育工作先进高校、武汉市征兵工作先进单位、湖北省委教育工委“两优一先”等荣誉称号；思政工作案例被中央电视台、人民网、湖北日报等多家主流媒体报道，相关课程获省高校思政课“名师示范课”通报表扬。</w:t>
      </w:r>
    </w:p>
    <w:p>
      <w:pPr>
        <w:pageBreakBefore w:val="0"/>
        <w:kinsoku/>
        <w:wordWrap/>
        <w:overflowPunct/>
        <w:topLinePunct w:val="0"/>
        <w:autoSpaceDE/>
        <w:autoSpaceDN/>
        <w:bidi w:val="0"/>
        <w:spacing w:line="520" w:lineRule="exact"/>
        <w:ind w:firstLine="640" w:firstLineChars="200"/>
        <w:jc w:val="left"/>
        <w:outlineLvl w:val="1"/>
        <w:rPr>
          <w:rFonts w:hint="default" w:ascii="楷体_GB2312" w:hAnsi="楷体_GB2312" w:eastAsia="楷体_GB2312" w:cs="楷体_GB2312"/>
          <w:b w:val="0"/>
          <w:bCs w:val="0"/>
          <w:color w:val="auto"/>
          <w:sz w:val="32"/>
          <w:szCs w:val="32"/>
          <w:lang w:eastAsia="zh-Hans"/>
        </w:rPr>
      </w:pPr>
      <w:bookmarkStart w:id="5" w:name="_Toc821528298"/>
      <w:r>
        <w:rPr>
          <w:rFonts w:hint="default" w:ascii="楷体_GB2312" w:hAnsi="楷体_GB2312" w:eastAsia="楷体_GB2312" w:cs="楷体_GB2312"/>
          <w:b w:val="0"/>
          <w:bCs w:val="0"/>
          <w:color w:val="auto"/>
          <w:sz w:val="32"/>
          <w:szCs w:val="32"/>
          <w:lang w:eastAsia="zh-Hans"/>
        </w:rPr>
        <w:t>（二）面临形势</w:t>
      </w:r>
      <w:bookmarkEnd w:id="5"/>
    </w:p>
    <w:p>
      <w:pPr>
        <w:keepNext/>
        <w:keepLines/>
        <w:pageBreakBefore w:val="0"/>
        <w:kinsoku/>
        <w:wordWrap/>
        <w:overflowPunct/>
        <w:topLinePunct w:val="0"/>
        <w:autoSpaceDE/>
        <w:autoSpaceDN/>
        <w:bidi w:val="0"/>
        <w:spacing w:line="520" w:lineRule="exact"/>
        <w:ind w:firstLine="643" w:firstLineChars="200"/>
        <w:jc w:val="left"/>
        <w:rPr>
          <w:rFonts w:hint="default" w:ascii="Times New Roman" w:hAnsi="Times New Roman" w:eastAsia="仿宋" w:cs="Times New Roman"/>
          <w:b/>
          <w:bCs/>
          <w:color w:val="auto"/>
          <w:sz w:val="32"/>
          <w:szCs w:val="36"/>
        </w:rPr>
      </w:pPr>
      <w:r>
        <w:rPr>
          <w:rFonts w:hint="default" w:ascii="Times New Roman" w:hAnsi="Times New Roman" w:eastAsia="仿宋" w:cs="Times New Roman"/>
          <w:b/>
          <w:bCs/>
          <w:color w:val="auto"/>
          <w:sz w:val="32"/>
          <w:szCs w:val="36"/>
        </w:rPr>
        <w:t>1.国家新发展阶段对</w:t>
      </w:r>
      <w:r>
        <w:rPr>
          <w:rFonts w:hint="default" w:ascii="Times New Roman" w:hAnsi="Times New Roman" w:eastAsia="仿宋" w:cs="Times New Roman"/>
          <w:b/>
          <w:bCs/>
          <w:color w:val="auto"/>
          <w:sz w:val="32"/>
          <w:szCs w:val="36"/>
          <w:lang w:eastAsia="zh-Hans"/>
        </w:rPr>
        <w:t>高等教育</w:t>
      </w:r>
      <w:r>
        <w:rPr>
          <w:rFonts w:hint="default" w:ascii="Times New Roman" w:hAnsi="Times New Roman" w:eastAsia="仿宋" w:cs="Times New Roman"/>
          <w:b/>
          <w:bCs/>
          <w:color w:val="auto"/>
          <w:sz w:val="32"/>
          <w:szCs w:val="36"/>
        </w:rPr>
        <w:t>提出新要求</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“十四五”时期，国家提出建设高质量本科教育，推进部分普通本科</w:t>
      </w:r>
      <w:r>
        <w:rPr>
          <w:rFonts w:hint="default" w:ascii="Times New Roman" w:hAnsi="Times New Roman" w:eastAsia="仿宋" w:cs="Times New Roman"/>
          <w:color w:val="auto"/>
          <w:sz w:val="32"/>
          <w:szCs w:val="32"/>
          <w:lang w:eastAsia="zh-Hans"/>
        </w:rPr>
        <w:t>院</w:t>
      </w:r>
      <w:r>
        <w:rPr>
          <w:rFonts w:hint="default" w:ascii="Times New Roman" w:hAnsi="Times New Roman" w:eastAsia="仿宋" w:cs="Times New Roman"/>
          <w:color w:val="auto"/>
          <w:sz w:val="32"/>
          <w:szCs w:val="32"/>
        </w:rPr>
        <w:t>校向应用型转变；高校要强化质量立校意识，摒弃外延式发展思维，转入内涵式发展轨道；增强忧患意识和使命担当，把握教育发展趋势，切实把注重内涵建设、提高办学质量作为最核心的任务来抓；争取到2035年将中国建成教育强国，以教育现代化支撑国家现代化。</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lang w:eastAsia="zh-Hans"/>
        </w:rPr>
        <w:t>面临高等教育新形势，要求学校</w:t>
      </w:r>
      <w:r>
        <w:rPr>
          <w:rFonts w:hint="default" w:ascii="Times New Roman" w:hAnsi="Times New Roman" w:eastAsia="仿宋" w:cs="Times New Roman"/>
          <w:color w:val="auto"/>
          <w:sz w:val="32"/>
          <w:szCs w:val="32"/>
        </w:rPr>
        <w:t>在服务国家建设发展中发挥更大的作用，以优质人才培养、科技创新等形式，服务国家战略和社会经济发展。</w:t>
      </w:r>
    </w:p>
    <w:p>
      <w:pPr>
        <w:keepNext/>
        <w:keepLines/>
        <w:pageBreakBefore w:val="0"/>
        <w:kinsoku/>
        <w:wordWrap/>
        <w:overflowPunct/>
        <w:topLinePunct w:val="0"/>
        <w:autoSpaceDE/>
        <w:autoSpaceDN/>
        <w:bidi w:val="0"/>
        <w:spacing w:line="520" w:lineRule="exact"/>
        <w:ind w:firstLine="643" w:firstLineChars="200"/>
        <w:jc w:val="left"/>
        <w:rPr>
          <w:rFonts w:hint="default" w:ascii="Times New Roman" w:hAnsi="Times New Roman" w:eastAsia="仿宋" w:cs="Times New Roman"/>
          <w:b/>
          <w:bCs/>
          <w:color w:val="auto"/>
          <w:sz w:val="32"/>
          <w:szCs w:val="36"/>
        </w:rPr>
      </w:pPr>
      <w:r>
        <w:rPr>
          <w:rFonts w:hint="default" w:ascii="Times New Roman" w:hAnsi="Times New Roman" w:eastAsia="仿宋" w:cs="Times New Roman"/>
          <w:b/>
          <w:bCs/>
          <w:color w:val="auto"/>
          <w:sz w:val="32"/>
          <w:szCs w:val="36"/>
        </w:rPr>
        <w:t>2.区域发展为</w:t>
      </w:r>
      <w:r>
        <w:rPr>
          <w:rFonts w:hint="default" w:ascii="Times New Roman" w:hAnsi="Times New Roman" w:eastAsia="仿宋" w:cs="Times New Roman"/>
          <w:b/>
          <w:bCs/>
          <w:color w:val="auto"/>
          <w:sz w:val="32"/>
          <w:szCs w:val="36"/>
          <w:lang w:eastAsia="zh-Hans"/>
        </w:rPr>
        <w:t>应用型高校建设</w:t>
      </w:r>
      <w:r>
        <w:rPr>
          <w:rFonts w:hint="default" w:ascii="Times New Roman" w:hAnsi="Times New Roman" w:eastAsia="仿宋" w:cs="Times New Roman"/>
          <w:b/>
          <w:bCs/>
          <w:color w:val="auto"/>
          <w:sz w:val="32"/>
          <w:szCs w:val="36"/>
        </w:rPr>
        <w:t>拓宽新空间</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中共湖北省委十一届八次全体会议提出了“建成支点、走在前列、谱写新篇”的目标定位。</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“十四五”</w:t>
      </w:r>
      <w:r>
        <w:rPr>
          <w:rFonts w:hint="default" w:ascii="Times New Roman" w:hAnsi="Times New Roman" w:eastAsia="仿宋" w:cs="Times New Roman"/>
          <w:color w:val="auto"/>
          <w:sz w:val="32"/>
          <w:szCs w:val="32"/>
          <w:lang w:eastAsia="zh-Hans"/>
        </w:rPr>
        <w:t>期间</w:t>
      </w:r>
      <w:r>
        <w:rPr>
          <w:rFonts w:hint="default" w:ascii="Times New Roman" w:hAnsi="Times New Roman" w:eastAsia="仿宋" w:cs="Times New Roman"/>
          <w:color w:val="auto"/>
          <w:sz w:val="32"/>
          <w:szCs w:val="32"/>
        </w:rPr>
        <w:t>，湖北着力推进科技创新、现代金融、人力资源等要素向实体经济集聚协同，加快形成战略性新兴产业引领、先进制造业主导、现代服务业驱动的现代产业体系；推动经济社会数字化转型，加快建设数字湖北，高质量人才紧缺成为制约区域发展的重要因素。</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lang w:eastAsia="zh-Hans"/>
        </w:rPr>
        <w:t>根据学校地方性、应用型的办学类型定位，</w:t>
      </w:r>
      <w:r>
        <w:rPr>
          <w:rFonts w:hint="default" w:ascii="Times New Roman" w:hAnsi="Times New Roman" w:eastAsia="仿宋" w:cs="Times New Roman"/>
          <w:color w:val="auto"/>
          <w:sz w:val="32"/>
          <w:szCs w:val="32"/>
        </w:rPr>
        <w:t>学校</w:t>
      </w:r>
      <w:r>
        <w:rPr>
          <w:rFonts w:hint="default" w:ascii="Times New Roman" w:hAnsi="Times New Roman" w:eastAsia="仿宋" w:cs="Times New Roman"/>
          <w:color w:val="auto"/>
          <w:sz w:val="32"/>
          <w:szCs w:val="32"/>
          <w:lang w:eastAsia="zh-Hans"/>
        </w:rPr>
        <w:t>应当</w:t>
      </w:r>
      <w:r>
        <w:rPr>
          <w:rFonts w:hint="default" w:ascii="Times New Roman" w:hAnsi="Times New Roman" w:eastAsia="仿宋" w:cs="Times New Roman"/>
          <w:color w:val="auto"/>
          <w:sz w:val="32"/>
          <w:szCs w:val="32"/>
        </w:rPr>
        <w:t>在促进湖北地方经济与社会发展中</w:t>
      </w:r>
      <w:r>
        <w:rPr>
          <w:rFonts w:hint="default" w:ascii="Times New Roman" w:hAnsi="Times New Roman" w:eastAsia="仿宋" w:cs="Times New Roman"/>
          <w:color w:val="auto"/>
          <w:sz w:val="32"/>
          <w:szCs w:val="32"/>
          <w:lang w:eastAsia="zh-Hans"/>
        </w:rPr>
        <w:t>积极</w:t>
      </w:r>
      <w:r>
        <w:rPr>
          <w:rFonts w:hint="default" w:ascii="Times New Roman" w:hAnsi="Times New Roman" w:eastAsia="仿宋" w:cs="Times New Roman"/>
          <w:color w:val="auto"/>
          <w:sz w:val="32"/>
          <w:szCs w:val="32"/>
        </w:rPr>
        <w:t>作为，围绕地方经济与产业发展方向和目标，规划学科专业布局，凝练科学研究方向，充分利用地方经济与社会发展的广阔空间，为地方经济与社会发展输送急需的高质量应用型人才，提供相关产业、企业需要的科学研究创新成果。</w:t>
      </w:r>
    </w:p>
    <w:p>
      <w:pPr>
        <w:keepNext/>
        <w:keepLines/>
        <w:pageBreakBefore w:val="0"/>
        <w:kinsoku/>
        <w:wordWrap/>
        <w:overflowPunct/>
        <w:topLinePunct w:val="0"/>
        <w:autoSpaceDE/>
        <w:autoSpaceDN/>
        <w:bidi w:val="0"/>
        <w:spacing w:line="520" w:lineRule="exact"/>
        <w:ind w:firstLine="643" w:firstLineChars="200"/>
        <w:jc w:val="left"/>
        <w:rPr>
          <w:rFonts w:hint="default" w:ascii="Times New Roman" w:hAnsi="Times New Roman" w:eastAsia="仿宋" w:cs="Times New Roman"/>
          <w:b/>
          <w:bCs/>
          <w:color w:val="auto"/>
          <w:sz w:val="32"/>
          <w:szCs w:val="36"/>
        </w:rPr>
      </w:pPr>
      <w:r>
        <w:rPr>
          <w:rFonts w:hint="default" w:ascii="Times New Roman" w:hAnsi="Times New Roman" w:eastAsia="仿宋" w:cs="Times New Roman"/>
          <w:b/>
          <w:bCs/>
          <w:color w:val="auto"/>
          <w:sz w:val="32"/>
          <w:szCs w:val="36"/>
        </w:rPr>
        <w:t>3.高等教育格局</w:t>
      </w:r>
      <w:r>
        <w:rPr>
          <w:rFonts w:hint="default" w:ascii="Times New Roman" w:hAnsi="Times New Roman" w:eastAsia="仿宋" w:cs="Times New Roman"/>
          <w:b/>
          <w:bCs/>
          <w:color w:val="auto"/>
          <w:sz w:val="32"/>
          <w:szCs w:val="36"/>
          <w:lang w:eastAsia="zh-Hans"/>
        </w:rPr>
        <w:t>推动民办教育</w:t>
      </w:r>
      <w:r>
        <w:rPr>
          <w:rFonts w:hint="default" w:ascii="Times New Roman" w:hAnsi="Times New Roman" w:eastAsia="仿宋" w:cs="Times New Roman"/>
          <w:b/>
          <w:bCs/>
          <w:color w:val="auto"/>
          <w:sz w:val="32"/>
          <w:szCs w:val="36"/>
        </w:rPr>
        <w:t>进入新阶段</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在高等教育高质量发展格局下，民办高等教育充满生机活力的发展局面正在加速形成，同类高校基本建设、规模扩张均已完成，人才和资源竞争日益激烈，民办高等教育呈现出教育供给差异化、多元化、特色化局面，</w:t>
      </w:r>
      <w:r>
        <w:rPr>
          <w:rFonts w:hint="default" w:ascii="Times New Roman" w:hAnsi="Times New Roman" w:eastAsia="仿宋" w:cs="Times New Roman"/>
          <w:color w:val="auto"/>
          <w:sz w:val="32"/>
          <w:szCs w:val="32"/>
          <w:lang w:eastAsia="zh-Hans"/>
        </w:rPr>
        <w:t>要求</w:t>
      </w:r>
      <w:r>
        <w:rPr>
          <w:rFonts w:hint="default" w:ascii="Times New Roman" w:hAnsi="Times New Roman" w:eastAsia="仿宋" w:cs="Times New Roman"/>
          <w:color w:val="auto"/>
          <w:sz w:val="32"/>
          <w:szCs w:val="32"/>
        </w:rPr>
        <w:t>学校不断优化学科专业</w:t>
      </w:r>
      <w:r>
        <w:rPr>
          <w:rFonts w:hint="default" w:ascii="Times New Roman" w:hAnsi="Times New Roman" w:eastAsia="仿宋" w:cs="Times New Roman"/>
          <w:color w:val="auto"/>
          <w:sz w:val="32"/>
          <w:szCs w:val="32"/>
          <w:lang w:eastAsia="zh-Hans"/>
        </w:rPr>
        <w:t>设置</w:t>
      </w:r>
      <w:r>
        <w:rPr>
          <w:rFonts w:hint="default" w:ascii="Times New Roman" w:hAnsi="Times New Roman" w:eastAsia="仿宋" w:cs="Times New Roman"/>
          <w:color w:val="auto"/>
          <w:sz w:val="32"/>
          <w:szCs w:val="32"/>
        </w:rPr>
        <w:t>和人才培养</w:t>
      </w:r>
      <w:r>
        <w:rPr>
          <w:rFonts w:hint="default" w:ascii="Times New Roman" w:hAnsi="Times New Roman" w:eastAsia="仿宋" w:cs="Times New Roman"/>
          <w:color w:val="auto"/>
          <w:sz w:val="32"/>
          <w:szCs w:val="32"/>
          <w:lang w:eastAsia="zh-Hans"/>
        </w:rPr>
        <w:t>模式</w:t>
      </w:r>
      <w:r>
        <w:rPr>
          <w:rFonts w:hint="default" w:ascii="Times New Roman" w:hAnsi="Times New Roman" w:eastAsia="仿宋" w:cs="Times New Roman"/>
          <w:color w:val="auto"/>
          <w:sz w:val="32"/>
          <w:szCs w:val="32"/>
        </w:rPr>
        <w:t>，提升质量，形成特色，开放办学，科学应对挑战，抓住机遇，加速发展。</w:t>
      </w:r>
      <w:bookmarkEnd w:id="3"/>
      <w:bookmarkEnd w:id="4"/>
    </w:p>
    <w:p>
      <w:pPr>
        <w:pageBreakBefore w:val="0"/>
        <w:kinsoku/>
        <w:wordWrap/>
        <w:overflowPunct/>
        <w:topLinePunct w:val="0"/>
        <w:autoSpaceDE/>
        <w:autoSpaceDN/>
        <w:bidi w:val="0"/>
        <w:spacing w:line="520" w:lineRule="exact"/>
        <w:ind w:firstLine="640" w:firstLineChars="200"/>
        <w:jc w:val="left"/>
        <w:outlineLvl w:val="1"/>
        <w:rPr>
          <w:rFonts w:hint="eastAsia" w:ascii="楷体_GB2312" w:hAnsi="楷体_GB2312" w:eastAsia="楷体_GB2312" w:cs="楷体_GB2312"/>
          <w:b w:val="0"/>
          <w:bCs w:val="0"/>
          <w:color w:val="auto"/>
          <w:sz w:val="32"/>
          <w:szCs w:val="32"/>
          <w:lang w:eastAsia="zh-Hans"/>
        </w:rPr>
      </w:pPr>
      <w:bookmarkStart w:id="6" w:name="_Toc1495963096"/>
      <w:bookmarkStart w:id="7" w:name="_Toc1253737923"/>
      <w:r>
        <w:rPr>
          <w:rFonts w:hint="eastAsia" w:ascii="楷体_GB2312" w:hAnsi="楷体_GB2312" w:eastAsia="楷体_GB2312" w:cs="楷体_GB2312"/>
          <w:b w:val="0"/>
          <w:bCs w:val="0"/>
          <w:color w:val="auto"/>
          <w:sz w:val="32"/>
          <w:szCs w:val="32"/>
          <w:lang w:eastAsia="zh-Hans"/>
        </w:rPr>
        <w:t>（三）</w:t>
      </w:r>
      <w:bookmarkEnd w:id="6"/>
      <w:r>
        <w:rPr>
          <w:rFonts w:hint="eastAsia" w:ascii="楷体_GB2312" w:hAnsi="楷体_GB2312" w:eastAsia="楷体_GB2312" w:cs="楷体_GB2312"/>
          <w:b w:val="0"/>
          <w:bCs w:val="0"/>
          <w:color w:val="auto"/>
          <w:sz w:val="32"/>
          <w:szCs w:val="32"/>
          <w:lang w:eastAsia="zh-Hans"/>
        </w:rPr>
        <w:t>存在不足</w:t>
      </w:r>
      <w:bookmarkEnd w:id="7"/>
    </w:p>
    <w:p>
      <w:pPr>
        <w:pageBreakBefore w:val="0"/>
        <w:kinsoku/>
        <w:wordWrap/>
        <w:overflowPunct/>
        <w:topLinePunct w:val="0"/>
        <w:autoSpaceDE/>
        <w:autoSpaceDN/>
        <w:bidi w:val="0"/>
        <w:spacing w:line="520" w:lineRule="exact"/>
        <w:ind w:firstLine="643" w:firstLineChars="200"/>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1.</w:t>
      </w:r>
      <w:r>
        <w:rPr>
          <w:rFonts w:hint="default" w:ascii="Times New Roman" w:hAnsi="Times New Roman" w:eastAsia="仿宋" w:cs="Times New Roman"/>
          <w:b/>
          <w:bCs/>
          <w:color w:val="auto"/>
          <w:sz w:val="32"/>
          <w:szCs w:val="32"/>
          <w:lang w:eastAsia="zh-Hans"/>
        </w:rPr>
        <w:t>大学</w:t>
      </w:r>
      <w:r>
        <w:rPr>
          <w:rFonts w:hint="default" w:ascii="Times New Roman" w:hAnsi="Times New Roman" w:eastAsia="仿宋" w:cs="Times New Roman"/>
          <w:b/>
          <w:bCs/>
          <w:color w:val="auto"/>
          <w:sz w:val="32"/>
          <w:szCs w:val="32"/>
        </w:rPr>
        <w:t>治理能力有待</w:t>
      </w:r>
      <w:r>
        <w:rPr>
          <w:rFonts w:hint="default" w:ascii="Times New Roman" w:hAnsi="Times New Roman" w:eastAsia="仿宋" w:cs="Times New Roman"/>
          <w:b/>
          <w:bCs/>
          <w:color w:val="auto"/>
          <w:sz w:val="32"/>
          <w:szCs w:val="32"/>
          <w:lang w:eastAsia="zh-Hans"/>
        </w:rPr>
        <w:t>进一步提升</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适应高等教育发展的治理体系与治理能力现代化思路有待进一步清晰，对学校</w:t>
      </w:r>
      <w:r>
        <w:rPr>
          <w:rFonts w:hint="default" w:ascii="Times New Roman" w:hAnsi="Times New Roman" w:eastAsia="仿宋" w:cs="Times New Roman"/>
          <w:color w:val="auto"/>
          <w:sz w:val="32"/>
          <w:szCs w:val="32"/>
          <w:lang w:eastAsia="zh-Hans"/>
        </w:rPr>
        <w:t>转型发展规律、转型发展路径、转型发展特色等有待进一步全面、深入研究</w:t>
      </w:r>
      <w:r>
        <w:rPr>
          <w:rFonts w:hint="default" w:ascii="Times New Roman" w:hAnsi="Times New Roman" w:eastAsia="仿宋" w:cs="Times New Roman"/>
          <w:color w:val="auto"/>
          <w:sz w:val="32"/>
          <w:szCs w:val="32"/>
        </w:rPr>
        <w:t>，对依法治校、</w:t>
      </w:r>
      <w:r>
        <w:rPr>
          <w:rFonts w:hint="default" w:ascii="Times New Roman" w:hAnsi="Times New Roman" w:eastAsia="仿宋" w:cs="Times New Roman"/>
          <w:color w:val="auto"/>
          <w:sz w:val="32"/>
          <w:szCs w:val="32"/>
          <w:lang w:eastAsia="zh-Hans"/>
        </w:rPr>
        <w:t>依</w:t>
      </w:r>
      <w:r>
        <w:rPr>
          <w:rFonts w:hint="default" w:ascii="Times New Roman" w:hAnsi="Times New Roman" w:eastAsia="仿宋" w:cs="Times New Roman"/>
          <w:color w:val="auto"/>
          <w:sz w:val="32"/>
          <w:szCs w:val="32"/>
        </w:rPr>
        <w:t>制度与规则办事的主动性和适应性有待进一步提高。</w:t>
      </w:r>
    </w:p>
    <w:p>
      <w:pPr>
        <w:pageBreakBefore w:val="0"/>
        <w:kinsoku/>
        <w:wordWrap/>
        <w:overflowPunct/>
        <w:topLinePunct w:val="0"/>
        <w:autoSpaceDE/>
        <w:autoSpaceDN/>
        <w:bidi w:val="0"/>
        <w:spacing w:line="520" w:lineRule="exact"/>
        <w:ind w:firstLine="643" w:firstLineChars="200"/>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2.</w:t>
      </w:r>
      <w:r>
        <w:rPr>
          <w:rFonts w:hint="default" w:ascii="Times New Roman" w:hAnsi="Times New Roman" w:eastAsia="仿宋" w:cs="Times New Roman"/>
          <w:b/>
          <w:bCs/>
          <w:color w:val="auto"/>
          <w:sz w:val="32"/>
          <w:szCs w:val="32"/>
          <w:lang w:eastAsia="zh-Hans"/>
        </w:rPr>
        <w:t>社会服务体系有待进一步完善</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lang w:eastAsia="zh-Hans"/>
        </w:rPr>
        <w:t>一方面，</w:t>
      </w:r>
      <w:r>
        <w:rPr>
          <w:rFonts w:hint="default" w:ascii="Times New Roman" w:hAnsi="Times New Roman" w:eastAsia="仿宋" w:cs="Times New Roman"/>
          <w:color w:val="auto"/>
          <w:sz w:val="32"/>
          <w:szCs w:val="32"/>
        </w:rPr>
        <w:t>依然存在</w:t>
      </w:r>
      <w:r>
        <w:rPr>
          <w:rFonts w:hint="default" w:ascii="Times New Roman" w:hAnsi="Times New Roman" w:eastAsia="仿宋" w:cs="Times New Roman"/>
          <w:color w:val="auto"/>
          <w:sz w:val="32"/>
          <w:szCs w:val="32"/>
          <w:lang w:eastAsia="zh-Hans"/>
        </w:rPr>
        <w:t>人才</w:t>
      </w:r>
      <w:r>
        <w:rPr>
          <w:rFonts w:hint="default" w:ascii="Times New Roman" w:hAnsi="Times New Roman" w:eastAsia="仿宋" w:cs="Times New Roman"/>
          <w:color w:val="auto"/>
          <w:sz w:val="32"/>
          <w:szCs w:val="32"/>
        </w:rPr>
        <w:t>培养目标、知识与能力要求</w:t>
      </w:r>
      <w:r>
        <w:rPr>
          <w:rFonts w:hint="default" w:ascii="Times New Roman" w:hAnsi="Times New Roman" w:eastAsia="仿宋" w:cs="Times New Roman"/>
          <w:color w:val="auto"/>
          <w:sz w:val="32"/>
          <w:szCs w:val="32"/>
          <w:lang w:eastAsia="zh-Hans"/>
        </w:rPr>
        <w:t>不足以</w:t>
      </w:r>
      <w:r>
        <w:rPr>
          <w:rFonts w:hint="default" w:ascii="Times New Roman" w:hAnsi="Times New Roman" w:eastAsia="仿宋" w:cs="Times New Roman"/>
          <w:color w:val="auto"/>
          <w:sz w:val="32"/>
          <w:szCs w:val="32"/>
        </w:rPr>
        <w:t>适应行业</w:t>
      </w:r>
      <w:r>
        <w:rPr>
          <w:rFonts w:hint="default" w:ascii="Times New Roman" w:hAnsi="Times New Roman" w:eastAsia="仿宋" w:cs="Times New Roman"/>
          <w:color w:val="auto"/>
          <w:sz w:val="32"/>
          <w:szCs w:val="32"/>
          <w:lang w:eastAsia="zh-Hans"/>
        </w:rPr>
        <w:t>企业对应用型人才的</w:t>
      </w:r>
      <w:r>
        <w:rPr>
          <w:rFonts w:hint="default" w:ascii="Times New Roman" w:hAnsi="Times New Roman" w:eastAsia="仿宋" w:cs="Times New Roman"/>
          <w:color w:val="auto"/>
          <w:sz w:val="32"/>
          <w:szCs w:val="32"/>
        </w:rPr>
        <w:t>需要，</w:t>
      </w:r>
      <w:r>
        <w:rPr>
          <w:rFonts w:hint="default" w:ascii="Times New Roman" w:hAnsi="Times New Roman" w:eastAsia="仿宋" w:cs="Times New Roman"/>
          <w:color w:val="auto"/>
          <w:sz w:val="32"/>
          <w:szCs w:val="32"/>
          <w:lang w:eastAsia="zh-Hans"/>
        </w:rPr>
        <w:t>人才</w:t>
      </w:r>
      <w:r>
        <w:rPr>
          <w:rFonts w:hint="default" w:ascii="Times New Roman" w:hAnsi="Times New Roman" w:eastAsia="仿宋" w:cs="Times New Roman"/>
          <w:color w:val="auto"/>
          <w:sz w:val="32"/>
          <w:szCs w:val="32"/>
        </w:rPr>
        <w:t>培养模式与方法</w:t>
      </w:r>
      <w:r>
        <w:rPr>
          <w:rFonts w:hint="default" w:ascii="Times New Roman" w:hAnsi="Times New Roman" w:eastAsia="仿宋" w:cs="Times New Roman"/>
          <w:color w:val="auto"/>
          <w:sz w:val="32"/>
          <w:szCs w:val="32"/>
          <w:lang w:eastAsia="zh-Hans"/>
        </w:rPr>
        <w:t>不足以</w:t>
      </w:r>
      <w:r>
        <w:rPr>
          <w:rFonts w:hint="default" w:ascii="Times New Roman" w:hAnsi="Times New Roman" w:eastAsia="仿宋" w:cs="Times New Roman"/>
          <w:color w:val="auto"/>
          <w:sz w:val="32"/>
          <w:szCs w:val="32"/>
        </w:rPr>
        <w:t>适应人才成长规律，</w:t>
      </w:r>
      <w:r>
        <w:rPr>
          <w:rFonts w:hint="default" w:ascii="Times New Roman" w:hAnsi="Times New Roman" w:eastAsia="仿宋" w:cs="Times New Roman"/>
          <w:color w:val="auto"/>
          <w:sz w:val="32"/>
          <w:szCs w:val="32"/>
          <w:lang w:eastAsia="zh-Hans"/>
        </w:rPr>
        <w:t>实训</w:t>
      </w:r>
      <w:r>
        <w:rPr>
          <w:rFonts w:hint="default" w:ascii="Times New Roman" w:hAnsi="Times New Roman" w:eastAsia="仿宋" w:cs="Times New Roman"/>
          <w:color w:val="auto"/>
          <w:sz w:val="32"/>
          <w:szCs w:val="32"/>
        </w:rPr>
        <w:t>实践平台</w:t>
      </w:r>
      <w:r>
        <w:rPr>
          <w:rFonts w:hint="default" w:ascii="Times New Roman" w:hAnsi="Times New Roman" w:eastAsia="仿宋" w:cs="Times New Roman"/>
          <w:color w:val="auto"/>
          <w:sz w:val="32"/>
          <w:szCs w:val="32"/>
          <w:lang w:eastAsia="zh-Hans"/>
        </w:rPr>
        <w:t>不足以</w:t>
      </w:r>
      <w:r>
        <w:rPr>
          <w:rFonts w:hint="default" w:ascii="Times New Roman" w:hAnsi="Times New Roman" w:eastAsia="仿宋" w:cs="Times New Roman"/>
          <w:color w:val="auto"/>
          <w:sz w:val="32"/>
          <w:szCs w:val="32"/>
        </w:rPr>
        <w:t>适应应用型人才培养目标以及创新创业要求，教师</w:t>
      </w:r>
      <w:r>
        <w:rPr>
          <w:rFonts w:hint="default" w:ascii="Times New Roman" w:hAnsi="Times New Roman" w:eastAsia="仿宋" w:cs="Times New Roman"/>
          <w:color w:val="auto"/>
          <w:sz w:val="32"/>
          <w:szCs w:val="32"/>
          <w:lang w:eastAsia="zh-Hans"/>
        </w:rPr>
        <w:t>实践经历与实践</w:t>
      </w:r>
      <w:r>
        <w:rPr>
          <w:rFonts w:hint="default" w:ascii="Times New Roman" w:hAnsi="Times New Roman" w:eastAsia="仿宋" w:cs="Times New Roman"/>
          <w:color w:val="auto"/>
          <w:sz w:val="32"/>
          <w:szCs w:val="32"/>
        </w:rPr>
        <w:t>能力</w:t>
      </w:r>
      <w:r>
        <w:rPr>
          <w:rFonts w:hint="default" w:ascii="Times New Roman" w:hAnsi="Times New Roman" w:eastAsia="仿宋" w:cs="Times New Roman"/>
          <w:color w:val="auto"/>
          <w:sz w:val="32"/>
          <w:szCs w:val="32"/>
          <w:lang w:eastAsia="zh-Hans"/>
        </w:rPr>
        <w:t>不足以</w:t>
      </w:r>
      <w:r>
        <w:rPr>
          <w:rFonts w:hint="default" w:ascii="Times New Roman" w:hAnsi="Times New Roman" w:eastAsia="仿宋" w:cs="Times New Roman"/>
          <w:color w:val="auto"/>
          <w:sz w:val="32"/>
          <w:szCs w:val="32"/>
        </w:rPr>
        <w:t>适应应用型人才培养需求等问题。</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lang w:eastAsia="zh-Hans"/>
        </w:rPr>
      </w:pPr>
      <w:r>
        <w:rPr>
          <w:rFonts w:hint="default" w:ascii="Times New Roman" w:hAnsi="Times New Roman" w:eastAsia="仿宋" w:cs="Times New Roman"/>
          <w:color w:val="auto"/>
          <w:sz w:val="32"/>
          <w:szCs w:val="32"/>
          <w:lang w:eastAsia="zh-Hans"/>
        </w:rPr>
        <w:t>另一方面，学校科研综合实力不足以支撑特色鲜明的高水平应用型大学建设，科研团队薄弱、科研领军人才缺乏、科研经费不足、高水平科研成果不多、科研评价与激励政策滞后等问题制约着学校服务地方经济与社会发展能力的提升。</w:t>
      </w:r>
    </w:p>
    <w:p>
      <w:pPr>
        <w:pageBreakBefore w:val="0"/>
        <w:kinsoku/>
        <w:wordWrap/>
        <w:overflowPunct/>
        <w:topLinePunct w:val="0"/>
        <w:autoSpaceDE/>
        <w:autoSpaceDN/>
        <w:bidi w:val="0"/>
        <w:spacing w:line="520" w:lineRule="exact"/>
        <w:ind w:firstLine="643" w:firstLineChars="200"/>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3.</w:t>
      </w:r>
      <w:r>
        <w:rPr>
          <w:rFonts w:hint="default" w:ascii="Times New Roman" w:hAnsi="Times New Roman" w:eastAsia="仿宋" w:cs="Times New Roman"/>
          <w:b/>
          <w:bCs/>
          <w:color w:val="auto"/>
          <w:sz w:val="32"/>
          <w:szCs w:val="32"/>
          <w:lang w:eastAsia="zh-Hans"/>
        </w:rPr>
        <w:t>师资队伍结构有待进一步优化</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lang w:eastAsia="zh-Hans"/>
        </w:rPr>
        <w:t>学校师资队伍的数量和结构还不尽如人意，部分</w:t>
      </w:r>
      <w:r>
        <w:rPr>
          <w:rFonts w:hint="default" w:ascii="Times New Roman" w:hAnsi="Times New Roman" w:eastAsia="仿宋" w:cs="Times New Roman"/>
          <w:color w:val="auto"/>
          <w:sz w:val="32"/>
          <w:szCs w:val="32"/>
        </w:rPr>
        <w:t>专业师资队伍结构不尽合理，生师比较高、具有影响力的高层次领军人才缺乏、部分教师教学科研能力有待提升、具有</w:t>
      </w:r>
      <w:r>
        <w:rPr>
          <w:rFonts w:hint="default" w:ascii="Times New Roman" w:hAnsi="Times New Roman" w:eastAsia="仿宋" w:cs="Times New Roman"/>
          <w:color w:val="auto"/>
          <w:sz w:val="32"/>
          <w:szCs w:val="32"/>
          <w:lang w:eastAsia="zh-Hans"/>
        </w:rPr>
        <w:t>企业</w:t>
      </w:r>
      <w:r>
        <w:rPr>
          <w:rFonts w:hint="default" w:ascii="Times New Roman" w:hAnsi="Times New Roman" w:eastAsia="仿宋" w:cs="Times New Roman"/>
          <w:color w:val="auto"/>
          <w:sz w:val="32"/>
          <w:szCs w:val="32"/>
        </w:rPr>
        <w:t>实践和国际视野的教师数量</w:t>
      </w:r>
      <w:r>
        <w:rPr>
          <w:rFonts w:hint="default" w:ascii="Times New Roman" w:hAnsi="Times New Roman" w:eastAsia="仿宋" w:cs="Times New Roman"/>
          <w:color w:val="auto"/>
          <w:sz w:val="32"/>
          <w:szCs w:val="32"/>
          <w:lang w:eastAsia="zh-Hans"/>
        </w:rPr>
        <w:t>较少</w:t>
      </w:r>
      <w:r>
        <w:rPr>
          <w:rFonts w:hint="default" w:ascii="Times New Roman" w:hAnsi="Times New Roman" w:eastAsia="仿宋" w:cs="Times New Roman"/>
          <w:color w:val="auto"/>
          <w:sz w:val="32"/>
          <w:szCs w:val="32"/>
        </w:rPr>
        <w:t>，师资队伍的结构与水平</w:t>
      </w:r>
      <w:r>
        <w:rPr>
          <w:rFonts w:hint="default" w:ascii="Times New Roman" w:hAnsi="Times New Roman" w:eastAsia="仿宋" w:cs="Times New Roman"/>
          <w:color w:val="auto"/>
          <w:sz w:val="32"/>
          <w:szCs w:val="32"/>
          <w:lang w:eastAsia="zh-Hans"/>
        </w:rPr>
        <w:t>难以</w:t>
      </w:r>
      <w:r>
        <w:rPr>
          <w:rFonts w:hint="default" w:ascii="Times New Roman" w:hAnsi="Times New Roman" w:eastAsia="仿宋" w:cs="Times New Roman"/>
          <w:color w:val="auto"/>
          <w:sz w:val="32"/>
          <w:szCs w:val="32"/>
        </w:rPr>
        <w:t>适应学校发展的需要。</w:t>
      </w:r>
    </w:p>
    <w:p>
      <w:pPr>
        <w:pStyle w:val="2"/>
        <w:pageBreakBefore w:val="0"/>
        <w:kinsoku/>
        <w:wordWrap/>
        <w:overflowPunct/>
        <w:topLinePunct w:val="0"/>
        <w:autoSpaceDE/>
        <w:autoSpaceDN/>
        <w:bidi w:val="0"/>
        <w:spacing w:before="0" w:beforeLines="0" w:after="0" w:afterLines="0" w:line="520" w:lineRule="exact"/>
        <w:ind w:firstLine="640" w:firstLineChars="200"/>
        <w:rPr>
          <w:rFonts w:hint="default" w:ascii="Times New Roman" w:hAnsi="Times New Roman" w:cs="Times New Roman"/>
          <w:color w:val="auto"/>
        </w:rPr>
      </w:pPr>
      <w:r>
        <w:rPr>
          <w:rFonts w:hint="default" w:ascii="Times New Roman" w:hAnsi="Times New Roman" w:cs="Times New Roman"/>
          <w:color w:val="auto"/>
        </w:rPr>
        <w:t xml:space="preserve"> </w:t>
      </w:r>
      <w:bookmarkStart w:id="8" w:name="_Toc352535355"/>
      <w:bookmarkStart w:id="9" w:name="_Toc463727497"/>
      <w:r>
        <w:rPr>
          <w:rFonts w:hint="eastAsia" w:ascii="黑体" w:hAnsi="黑体" w:eastAsia="黑体" w:cs="黑体"/>
          <w:b w:val="0"/>
          <w:bCs w:val="0"/>
          <w:color w:val="auto"/>
          <w:lang w:eastAsia="zh-Hans"/>
        </w:rPr>
        <w:t>二</w:t>
      </w:r>
      <w:r>
        <w:rPr>
          <w:rFonts w:hint="eastAsia" w:ascii="黑体" w:hAnsi="黑体" w:eastAsia="黑体" w:cs="黑体"/>
          <w:b w:val="0"/>
          <w:bCs w:val="0"/>
          <w:color w:val="auto"/>
        </w:rPr>
        <w:t>、</w:t>
      </w:r>
      <w:bookmarkEnd w:id="8"/>
      <w:r>
        <w:rPr>
          <w:rFonts w:hint="eastAsia" w:ascii="黑体" w:hAnsi="黑体" w:eastAsia="黑体" w:cs="黑体"/>
          <w:b w:val="0"/>
          <w:bCs w:val="0"/>
          <w:color w:val="auto"/>
          <w:lang w:eastAsia="zh-Hans"/>
        </w:rPr>
        <w:t>指导思想与目标定位</w:t>
      </w:r>
      <w:bookmarkEnd w:id="9"/>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default" w:ascii="楷体_GB2312" w:hAnsi="楷体_GB2312" w:eastAsia="楷体_GB2312" w:cs="楷体_GB2312"/>
          <w:b w:val="0"/>
          <w:bCs w:val="0"/>
          <w:color w:val="auto"/>
        </w:rPr>
      </w:pPr>
      <w:bookmarkStart w:id="10" w:name="_Toc154329412"/>
      <w:bookmarkStart w:id="11" w:name="_Toc649887116"/>
      <w:r>
        <w:rPr>
          <w:rFonts w:hint="default" w:ascii="楷体_GB2312" w:hAnsi="楷体_GB2312" w:eastAsia="楷体_GB2312" w:cs="楷体_GB2312"/>
          <w:b w:val="0"/>
          <w:bCs w:val="0"/>
          <w:color w:val="auto"/>
        </w:rPr>
        <w:t>（一）指导思想</w:t>
      </w:r>
      <w:bookmarkEnd w:id="10"/>
      <w:bookmarkEnd w:id="11"/>
    </w:p>
    <w:p>
      <w:pPr>
        <w:pageBreakBefore w:val="0"/>
        <w:kinsoku/>
        <w:wordWrap/>
        <w:overflowPunct/>
        <w:topLinePunct w:val="0"/>
        <w:autoSpaceDE/>
        <w:autoSpaceDN/>
        <w:bidi w:val="0"/>
        <w:adjustRightInd w:val="0"/>
        <w:snapToGrid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高举中国特色社会主义伟大旗帜，以习近平新时代中国特色社会主义思想为指导，深入贯彻党的十九大、十九届二中、三中、四中、五中</w:t>
      </w:r>
      <w:r>
        <w:rPr>
          <w:rFonts w:hint="eastAsia" w:ascii="Times New Roman" w:hAnsi="Times New Roman" w:eastAsia="仿宋" w:cs="Times New Roman"/>
          <w:color w:val="auto"/>
          <w:sz w:val="32"/>
          <w:szCs w:val="32"/>
          <w:lang w:eastAsia="zh-CN"/>
        </w:rPr>
        <w:t>、</w:t>
      </w:r>
      <w:r>
        <w:rPr>
          <w:rFonts w:hint="eastAsia" w:ascii="Times New Roman" w:hAnsi="Times New Roman" w:eastAsia="仿宋" w:cs="Times New Roman"/>
          <w:color w:val="auto"/>
          <w:sz w:val="32"/>
          <w:szCs w:val="32"/>
          <w:lang w:val="en-US" w:eastAsia="zh-CN"/>
        </w:rPr>
        <w:t>六中</w:t>
      </w:r>
      <w:r>
        <w:rPr>
          <w:rFonts w:hint="default" w:ascii="Times New Roman" w:hAnsi="Times New Roman" w:eastAsia="仿宋" w:cs="Times New Roman"/>
          <w:color w:val="auto"/>
          <w:sz w:val="32"/>
          <w:szCs w:val="32"/>
        </w:rPr>
        <w:t>全会精神，立足新发展阶段，贯彻新发展理念，构建新发展格局；围绕立德树人根本任务，践行“学以广才，志以成学”的校训，弘扬“敢为人先、自强不息”的学校精神，遵循“立德树人、</w:t>
      </w:r>
      <w:r>
        <w:rPr>
          <w:rFonts w:hint="default" w:ascii="Times New Roman" w:hAnsi="Times New Roman" w:eastAsia="仿宋" w:cs="Times New Roman"/>
          <w:color w:val="auto"/>
          <w:sz w:val="32"/>
          <w:szCs w:val="32"/>
          <w:lang w:eastAsia="zh-Hans"/>
        </w:rPr>
        <w:t>质量为本</w:t>
      </w:r>
      <w:r>
        <w:rPr>
          <w:rFonts w:hint="default" w:ascii="Times New Roman" w:hAnsi="Times New Roman" w:eastAsia="仿宋" w:cs="Times New Roman"/>
          <w:color w:val="auto"/>
          <w:sz w:val="32"/>
          <w:szCs w:val="32"/>
        </w:rPr>
        <w:t>”的办学理念，</w:t>
      </w:r>
      <w:r>
        <w:rPr>
          <w:rFonts w:hint="default" w:ascii="Times New Roman" w:hAnsi="Times New Roman" w:eastAsia="仿宋" w:cs="Times New Roman"/>
          <w:color w:val="auto"/>
          <w:sz w:val="32"/>
          <w:szCs w:val="32"/>
          <w:lang w:eastAsia="zh-Hans"/>
        </w:rPr>
        <w:t>立足湖北，面向中部，辐射全国，</w:t>
      </w:r>
      <w:r>
        <w:rPr>
          <w:rFonts w:hint="default" w:ascii="Times New Roman" w:hAnsi="Times New Roman" w:eastAsia="仿宋" w:cs="Times New Roman"/>
          <w:color w:val="auto"/>
          <w:sz w:val="32"/>
          <w:szCs w:val="40"/>
        </w:rPr>
        <w:t>注重多学科专业协调发展；</w:t>
      </w:r>
      <w:r>
        <w:rPr>
          <w:rFonts w:hint="default" w:ascii="Times New Roman" w:hAnsi="Times New Roman" w:eastAsia="仿宋" w:cs="Times New Roman"/>
          <w:color w:val="auto"/>
          <w:sz w:val="32"/>
          <w:szCs w:val="32"/>
        </w:rPr>
        <w:t>以推动高质量发展为主题，全面提升学校治理体系和治理能力现代化水平，为实现“特色鲜明的高水平应用型大学”的奋斗目标打下坚实基础。</w:t>
      </w:r>
    </w:p>
    <w:p>
      <w:pPr>
        <w:pageBreakBefore w:val="0"/>
        <w:kinsoku/>
        <w:wordWrap/>
        <w:overflowPunct/>
        <w:topLinePunct w:val="0"/>
        <w:autoSpaceDE/>
        <w:autoSpaceDN/>
        <w:bidi w:val="0"/>
        <w:adjustRightInd w:val="0"/>
        <w:snapToGrid w:val="0"/>
        <w:spacing w:line="520" w:lineRule="exact"/>
        <w:ind w:firstLine="640" w:firstLineChars="200"/>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十四五</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期间，学校发展的总体思路是，内涵建设，特色发展，提高质量，开放办学。随着嘉鱼校区建设的整体完成和投入使用，学校两个校区面积已达到</w:t>
      </w:r>
      <w:r>
        <w:rPr>
          <w:rFonts w:hint="default" w:ascii="Times New Roman" w:hAnsi="Times New Roman" w:eastAsia="仿宋" w:cs="Times New Roman"/>
          <w:color w:val="auto"/>
          <w:sz w:val="32"/>
          <w:szCs w:val="32"/>
          <w:highlight w:val="none"/>
          <w:lang w:val="en-US" w:eastAsia="zh-CN"/>
        </w:rPr>
        <w:t>2018</w:t>
      </w:r>
      <w:r>
        <w:rPr>
          <w:rFonts w:hint="default" w:ascii="Times New Roman" w:hAnsi="Times New Roman" w:eastAsia="仿宋" w:cs="Times New Roman"/>
          <w:color w:val="auto"/>
          <w:sz w:val="32"/>
          <w:szCs w:val="32"/>
          <w:highlight w:val="none"/>
        </w:rPr>
        <w:t>亩；同时，国家给予我校的招生计划规模已基本稳定，学校校园规模与招生规模的匹配也基本合理，规模扩张的方式已不再适合学校未来发展，未来发展在于走内涵发展、特色发展、开放办学之路，提升学校的办学质量、办学实力和办学水平。</w:t>
      </w:r>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default" w:ascii="楷体_GB2312" w:hAnsi="楷体_GB2312" w:eastAsia="楷体_GB2312" w:cs="楷体_GB2312"/>
          <w:b w:val="0"/>
          <w:bCs w:val="0"/>
          <w:color w:val="auto"/>
        </w:rPr>
      </w:pPr>
      <w:bookmarkStart w:id="12" w:name="_Toc1073560185"/>
      <w:bookmarkStart w:id="13" w:name="_Toc550929970"/>
      <w:r>
        <w:rPr>
          <w:rFonts w:hint="default" w:ascii="楷体_GB2312" w:hAnsi="楷体_GB2312" w:eastAsia="楷体_GB2312" w:cs="楷体_GB2312"/>
          <w:b w:val="0"/>
          <w:bCs w:val="0"/>
          <w:color w:val="auto"/>
        </w:rPr>
        <w:t>（二）发展</w:t>
      </w:r>
      <w:bookmarkEnd w:id="12"/>
      <w:r>
        <w:rPr>
          <w:rFonts w:hint="default" w:ascii="楷体_GB2312" w:hAnsi="楷体_GB2312" w:eastAsia="楷体_GB2312" w:cs="楷体_GB2312"/>
          <w:b w:val="0"/>
          <w:bCs w:val="0"/>
          <w:color w:val="auto"/>
          <w:lang w:eastAsia="zh-Hans"/>
        </w:rPr>
        <w:t>战略</w:t>
      </w:r>
      <w:bookmarkEnd w:id="13"/>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bookmarkStart w:id="14" w:name="_Toc27203"/>
      <w:bookmarkStart w:id="15" w:name="_Toc51872781"/>
      <w:bookmarkStart w:id="16" w:name="_Toc52041221"/>
      <w:bookmarkStart w:id="17" w:name="_Toc21307"/>
      <w:bookmarkStart w:id="18" w:name="_Toc10248"/>
      <w:bookmarkStart w:id="19" w:name="_Toc21677"/>
      <w:bookmarkStart w:id="20" w:name="_Toc2140"/>
      <w:r>
        <w:rPr>
          <w:rFonts w:hint="default" w:ascii="Times New Roman" w:hAnsi="Times New Roman" w:eastAsia="仿宋" w:cs="Times New Roman"/>
          <w:color w:val="auto"/>
          <w:sz w:val="32"/>
          <w:szCs w:val="32"/>
        </w:rPr>
        <w:t>立足新发展阶段，统筹考虑学校发展实际，坚持立德树人，坚持靶向施策，坚持守正创新，努力推进“</w:t>
      </w:r>
      <w:r>
        <w:rPr>
          <w:rFonts w:hint="default" w:ascii="Times New Roman" w:hAnsi="Times New Roman" w:eastAsia="仿宋" w:cs="Times New Roman"/>
          <w:color w:val="auto"/>
          <w:sz w:val="32"/>
          <w:szCs w:val="32"/>
          <w:lang w:eastAsia="zh-Hans"/>
        </w:rPr>
        <w:t>质量引领</w:t>
      </w:r>
      <w:r>
        <w:rPr>
          <w:rFonts w:hint="default" w:ascii="Times New Roman" w:hAnsi="Times New Roman" w:eastAsia="仿宋" w:cs="Times New Roman"/>
          <w:color w:val="auto"/>
          <w:sz w:val="32"/>
          <w:szCs w:val="32"/>
        </w:rPr>
        <w:t>、人才强校、</w:t>
      </w:r>
      <w:r>
        <w:rPr>
          <w:rFonts w:hint="default" w:ascii="Times New Roman" w:hAnsi="Times New Roman" w:eastAsia="仿宋" w:cs="Times New Roman"/>
          <w:color w:val="auto"/>
          <w:sz w:val="32"/>
          <w:szCs w:val="32"/>
          <w:lang w:eastAsia="zh-Hans"/>
        </w:rPr>
        <w:t>产教融合</w:t>
      </w:r>
      <w:r>
        <w:rPr>
          <w:rFonts w:hint="default" w:ascii="Times New Roman" w:hAnsi="Times New Roman" w:eastAsia="仿宋" w:cs="Times New Roman"/>
          <w:color w:val="auto"/>
          <w:sz w:val="32"/>
          <w:szCs w:val="32"/>
        </w:rPr>
        <w:t>、科研</w:t>
      </w:r>
      <w:r>
        <w:rPr>
          <w:rFonts w:hint="default" w:ascii="Times New Roman" w:hAnsi="Times New Roman" w:eastAsia="仿宋" w:cs="Times New Roman"/>
          <w:color w:val="auto"/>
          <w:sz w:val="32"/>
          <w:szCs w:val="32"/>
          <w:lang w:eastAsia="zh-Hans"/>
        </w:rPr>
        <w:t>提升</w:t>
      </w:r>
      <w:r>
        <w:rPr>
          <w:rFonts w:hint="default" w:ascii="Times New Roman" w:hAnsi="Times New Roman" w:eastAsia="仿宋" w:cs="Times New Roman"/>
          <w:color w:val="auto"/>
          <w:sz w:val="32"/>
          <w:szCs w:val="32"/>
        </w:rPr>
        <w:t>”四大战略，夯实基础，提升内涵，有序推进人才培养、</w:t>
      </w:r>
      <w:r>
        <w:rPr>
          <w:rFonts w:hint="default" w:ascii="Times New Roman" w:hAnsi="Times New Roman" w:eastAsia="仿宋" w:cs="Times New Roman"/>
          <w:color w:val="auto"/>
          <w:sz w:val="32"/>
          <w:szCs w:val="32"/>
          <w:lang w:eastAsia="zh-Hans"/>
        </w:rPr>
        <w:t>师资队伍</w:t>
      </w:r>
      <w:r>
        <w:rPr>
          <w:rFonts w:hint="default" w:ascii="Times New Roman" w:hAnsi="Times New Roman" w:eastAsia="仿宋" w:cs="Times New Roman"/>
          <w:color w:val="auto"/>
          <w:sz w:val="32"/>
          <w:szCs w:val="32"/>
        </w:rPr>
        <w:t>、科学研究等各项工作，构建学校发展新格局。</w:t>
      </w:r>
    </w:p>
    <w:p>
      <w:pPr>
        <w:pageBreakBefore w:val="0"/>
        <w:kinsoku/>
        <w:wordWrap/>
        <w:overflowPunct/>
        <w:topLinePunct w:val="0"/>
        <w:autoSpaceDE/>
        <w:autoSpaceDN/>
        <w:bidi w:val="0"/>
        <w:spacing w:line="520" w:lineRule="exact"/>
        <w:ind w:firstLine="643" w:firstLineChars="200"/>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1</w:t>
      </w:r>
      <w:bookmarkEnd w:id="14"/>
      <w:bookmarkEnd w:id="15"/>
      <w:bookmarkEnd w:id="16"/>
      <w:bookmarkEnd w:id="17"/>
      <w:bookmarkEnd w:id="18"/>
      <w:bookmarkEnd w:id="19"/>
      <w:bookmarkEnd w:id="20"/>
      <w:r>
        <w:rPr>
          <w:rFonts w:hint="default" w:ascii="Times New Roman" w:hAnsi="Times New Roman" w:eastAsia="仿宋" w:cs="Times New Roman"/>
          <w:b/>
          <w:bCs/>
          <w:color w:val="auto"/>
          <w:sz w:val="32"/>
          <w:szCs w:val="32"/>
        </w:rPr>
        <w:t>.</w:t>
      </w:r>
      <w:r>
        <w:rPr>
          <w:rFonts w:hint="default" w:ascii="Times New Roman" w:hAnsi="Times New Roman" w:eastAsia="仿宋" w:cs="Times New Roman"/>
          <w:b/>
          <w:bCs/>
          <w:color w:val="auto"/>
          <w:sz w:val="32"/>
          <w:szCs w:val="32"/>
          <w:lang w:eastAsia="zh-Hans"/>
        </w:rPr>
        <w:t>质量引领战略</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全面贯彻党的教育方针，落实立德树人根本任务，坚持</w:t>
      </w:r>
      <w:r>
        <w:rPr>
          <w:rFonts w:hint="default" w:ascii="Times New Roman" w:hAnsi="Times New Roman" w:eastAsia="仿宋" w:cs="Times New Roman"/>
          <w:color w:val="auto"/>
          <w:sz w:val="32"/>
          <w:szCs w:val="32"/>
          <w:lang w:eastAsia="zh-Hans"/>
        </w:rPr>
        <w:t>“学为中心”，</w:t>
      </w:r>
      <w:r>
        <w:rPr>
          <w:rFonts w:hint="default" w:ascii="Times New Roman" w:hAnsi="Times New Roman" w:eastAsia="仿宋" w:cs="Times New Roman"/>
          <w:color w:val="auto"/>
          <w:sz w:val="32"/>
          <w:szCs w:val="32"/>
        </w:rPr>
        <w:t>“五育”并举；</w:t>
      </w:r>
      <w:r>
        <w:rPr>
          <w:rFonts w:hint="default" w:ascii="Times New Roman" w:hAnsi="Times New Roman" w:eastAsia="仿宋" w:cs="Times New Roman"/>
          <w:color w:val="auto"/>
          <w:sz w:val="32"/>
          <w:szCs w:val="32"/>
          <w:lang w:eastAsia="zh-Hans"/>
        </w:rPr>
        <w:t>围绕提升应用型人才培养质量目标，</w:t>
      </w:r>
      <w:r>
        <w:rPr>
          <w:rFonts w:hint="default" w:ascii="Times New Roman" w:hAnsi="Times New Roman" w:eastAsia="仿宋" w:cs="Times New Roman"/>
          <w:color w:val="auto"/>
          <w:sz w:val="32"/>
          <w:szCs w:val="32"/>
        </w:rPr>
        <w:t>集聚和配置多方要素和资源，</w:t>
      </w:r>
      <w:r>
        <w:rPr>
          <w:rFonts w:hint="default" w:ascii="Times New Roman" w:hAnsi="Times New Roman" w:eastAsia="仿宋" w:cs="Times New Roman"/>
          <w:color w:val="auto"/>
          <w:sz w:val="32"/>
          <w:szCs w:val="32"/>
          <w:lang w:eastAsia="zh-Hans"/>
        </w:rPr>
        <w:t>深入开展教育教学改革；进一步规范教学管理制度和运行体系，</w:t>
      </w:r>
      <w:r>
        <w:rPr>
          <w:rFonts w:hint="default" w:ascii="Times New Roman" w:hAnsi="Times New Roman" w:eastAsia="仿宋" w:cs="Times New Roman"/>
          <w:color w:val="auto"/>
          <w:sz w:val="32"/>
          <w:szCs w:val="32"/>
        </w:rPr>
        <w:t>充分发挥课程、科研、实践、文化等方面育人功能，上下联动、形成合力，</w:t>
      </w:r>
      <w:r>
        <w:rPr>
          <w:rFonts w:hint="default" w:ascii="Times New Roman" w:hAnsi="Times New Roman" w:eastAsia="仿宋" w:cs="Times New Roman"/>
          <w:color w:val="auto"/>
          <w:sz w:val="32"/>
          <w:szCs w:val="32"/>
          <w:lang w:eastAsia="zh-Hans"/>
        </w:rPr>
        <w:t>着力推进质量文化建设；完善人才培养质量保障与监控机制，全面提升人才培养质量，</w:t>
      </w:r>
      <w:r>
        <w:rPr>
          <w:rFonts w:hint="default" w:ascii="Times New Roman" w:hAnsi="Times New Roman" w:eastAsia="仿宋" w:cs="Times New Roman"/>
          <w:color w:val="auto"/>
          <w:sz w:val="32"/>
          <w:szCs w:val="32"/>
        </w:rPr>
        <w:t>为</w:t>
      </w:r>
      <w:r>
        <w:rPr>
          <w:rFonts w:hint="default" w:ascii="Times New Roman" w:hAnsi="Times New Roman" w:eastAsia="仿宋" w:cs="Times New Roman"/>
          <w:color w:val="auto"/>
          <w:sz w:val="32"/>
          <w:szCs w:val="32"/>
          <w:lang w:eastAsia="zh-Hans"/>
        </w:rPr>
        <w:t>地方</w:t>
      </w:r>
      <w:r>
        <w:rPr>
          <w:rFonts w:hint="default" w:ascii="Times New Roman" w:hAnsi="Times New Roman" w:eastAsia="仿宋" w:cs="Times New Roman"/>
          <w:color w:val="auto"/>
          <w:sz w:val="32"/>
          <w:szCs w:val="32"/>
        </w:rPr>
        <w:t>经济社会发展培养高素质应用型人才。</w:t>
      </w:r>
    </w:p>
    <w:p>
      <w:pPr>
        <w:pageBreakBefore w:val="0"/>
        <w:kinsoku/>
        <w:wordWrap/>
        <w:overflowPunct/>
        <w:topLinePunct w:val="0"/>
        <w:autoSpaceDE/>
        <w:autoSpaceDN/>
        <w:bidi w:val="0"/>
        <w:spacing w:line="520" w:lineRule="exact"/>
        <w:ind w:firstLine="643" w:firstLineChars="200"/>
        <w:rPr>
          <w:rFonts w:hint="default" w:ascii="Times New Roman" w:hAnsi="Times New Roman" w:eastAsia="仿宋" w:cs="Times New Roman"/>
          <w:color w:val="auto"/>
          <w:sz w:val="32"/>
          <w:szCs w:val="32"/>
          <w:lang w:eastAsia="zh-Hans"/>
        </w:rPr>
      </w:pPr>
      <w:r>
        <w:rPr>
          <w:rFonts w:hint="default" w:ascii="Times New Roman" w:hAnsi="Times New Roman" w:eastAsia="仿宋" w:cs="Times New Roman"/>
          <w:b/>
          <w:bCs/>
          <w:color w:val="auto"/>
          <w:sz w:val="32"/>
          <w:szCs w:val="32"/>
        </w:rPr>
        <w:t>2.</w:t>
      </w:r>
      <w:r>
        <w:rPr>
          <w:rFonts w:hint="default" w:ascii="Times New Roman" w:hAnsi="Times New Roman" w:eastAsia="仿宋" w:cs="Times New Roman"/>
          <w:b/>
          <w:bCs/>
          <w:color w:val="auto"/>
          <w:sz w:val="32"/>
          <w:szCs w:val="32"/>
          <w:lang w:eastAsia="zh-Hans"/>
        </w:rPr>
        <w:t>人才强校战略</w:t>
      </w:r>
    </w:p>
    <w:p>
      <w:pPr>
        <w:pageBreakBefore w:val="0"/>
        <w:kinsoku/>
        <w:wordWrap/>
        <w:overflowPunct/>
        <w:topLinePunct w:val="0"/>
        <w:autoSpaceDE/>
        <w:autoSpaceDN/>
        <w:bidi w:val="0"/>
        <w:spacing w:line="520" w:lineRule="exact"/>
        <w:ind w:firstLine="640" w:firstLineChars="200"/>
        <w:jc w:val="left"/>
        <w:rPr>
          <w:rFonts w:hint="default" w:ascii="Times New Roman" w:hAnsi="Times New Roman" w:eastAsia="仿宋" w:cs="Times New Roman"/>
          <w:color w:val="auto"/>
          <w:sz w:val="32"/>
          <w:szCs w:val="32"/>
          <w:lang w:eastAsia="zh-Hans"/>
        </w:rPr>
      </w:pPr>
      <w:r>
        <w:rPr>
          <w:rFonts w:hint="default" w:ascii="Times New Roman" w:hAnsi="Times New Roman" w:eastAsia="仿宋" w:cs="Times New Roman"/>
          <w:color w:val="auto"/>
          <w:sz w:val="32"/>
          <w:szCs w:val="32"/>
          <w:lang w:eastAsia="zh-Hans"/>
        </w:rPr>
        <w:t>充分尊重教师主体地位，通过进一步强化人才在学校改革与发展中的根本地位，改革学校人事管理制度，突破学校人才瓶颈，使全校重视人才、支持人才的氛围更加浓厚。建立健全人才工作保障机制，明确学校人才优先目标，</w:t>
      </w:r>
      <w:r>
        <w:rPr>
          <w:rFonts w:hint="eastAsia" w:ascii="Times New Roman" w:hAnsi="Times New Roman" w:eastAsia="仿宋" w:cs="Times New Roman"/>
          <w:color w:val="auto"/>
          <w:sz w:val="32"/>
          <w:szCs w:val="32"/>
          <w:lang w:val="en-US" w:eastAsia="zh-CN"/>
        </w:rPr>
        <w:t>创新学校</w:t>
      </w:r>
      <w:r>
        <w:rPr>
          <w:rFonts w:hint="default" w:ascii="Times New Roman" w:hAnsi="Times New Roman" w:eastAsia="仿宋" w:cs="Times New Roman"/>
          <w:color w:val="auto"/>
          <w:sz w:val="32"/>
          <w:szCs w:val="32"/>
          <w:lang w:eastAsia="zh-Hans"/>
        </w:rPr>
        <w:t>人才工作机制，</w:t>
      </w:r>
      <w:r>
        <w:rPr>
          <w:rFonts w:hint="eastAsia" w:ascii="Times New Roman" w:hAnsi="Times New Roman" w:eastAsia="仿宋" w:cs="Times New Roman"/>
          <w:color w:val="auto"/>
          <w:sz w:val="32"/>
          <w:szCs w:val="32"/>
          <w:lang w:val="en-US" w:eastAsia="zh-CN"/>
        </w:rPr>
        <w:t>形成</w:t>
      </w:r>
      <w:r>
        <w:rPr>
          <w:rFonts w:hint="default" w:ascii="Times New Roman" w:hAnsi="Times New Roman" w:eastAsia="仿宋" w:cs="Times New Roman"/>
          <w:color w:val="auto"/>
          <w:sz w:val="32"/>
          <w:szCs w:val="32"/>
          <w:lang w:eastAsia="zh-Hans"/>
        </w:rPr>
        <w:t>人才管理制度</w:t>
      </w:r>
      <w:r>
        <w:rPr>
          <w:rFonts w:hint="eastAsia" w:ascii="Times New Roman" w:hAnsi="Times New Roman" w:eastAsia="仿宋" w:cs="Times New Roman"/>
          <w:color w:val="auto"/>
          <w:sz w:val="32"/>
          <w:szCs w:val="32"/>
          <w:lang w:val="en-US" w:eastAsia="zh-CN"/>
        </w:rPr>
        <w:t>比较优势</w:t>
      </w:r>
      <w:r>
        <w:rPr>
          <w:rFonts w:hint="default" w:ascii="Times New Roman" w:hAnsi="Times New Roman" w:eastAsia="仿宋" w:cs="Times New Roman"/>
          <w:color w:val="auto"/>
          <w:sz w:val="32"/>
          <w:szCs w:val="32"/>
          <w:lang w:eastAsia="zh-Hans"/>
        </w:rPr>
        <w:t>。继续坚持“引培并举”，强化师德师风建设，优化师资队伍结构，提升师资队伍水平，面向未来培养造就一支</w:t>
      </w:r>
      <w:r>
        <w:rPr>
          <w:rFonts w:hint="eastAsia" w:ascii="Times New Roman" w:hAnsi="Times New Roman" w:eastAsia="仿宋" w:cs="Times New Roman"/>
          <w:color w:val="auto"/>
          <w:sz w:val="32"/>
          <w:szCs w:val="32"/>
          <w:lang w:val="en-US" w:eastAsia="zh-CN"/>
        </w:rPr>
        <w:t>专兼结合</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lang w:eastAsia="zh-Hans"/>
        </w:rPr>
        <w:t>规模</w:t>
      </w:r>
      <w:r>
        <w:rPr>
          <w:rFonts w:hint="eastAsia" w:ascii="Times New Roman" w:hAnsi="Times New Roman" w:eastAsia="仿宋" w:cs="Times New Roman"/>
          <w:color w:val="auto"/>
          <w:sz w:val="32"/>
          <w:szCs w:val="32"/>
          <w:lang w:val="en-US" w:eastAsia="zh-CN"/>
        </w:rPr>
        <w:t>适中</w:t>
      </w:r>
      <w:r>
        <w:rPr>
          <w:rFonts w:hint="default" w:ascii="Times New Roman" w:hAnsi="Times New Roman" w:eastAsia="仿宋" w:cs="Times New Roman"/>
          <w:color w:val="auto"/>
          <w:sz w:val="32"/>
          <w:szCs w:val="32"/>
          <w:lang w:eastAsia="zh-Hans"/>
        </w:rPr>
        <w:t>、结构合理、实力较强</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lang w:eastAsia="zh-Hans"/>
        </w:rPr>
        <w:t>适应应用型人才培养、科学研究和服务地方经济与社会发展的高水平师资队伍。</w:t>
      </w:r>
    </w:p>
    <w:p>
      <w:pPr>
        <w:pageBreakBefore w:val="0"/>
        <w:kinsoku/>
        <w:wordWrap/>
        <w:overflowPunct/>
        <w:topLinePunct w:val="0"/>
        <w:autoSpaceDE/>
        <w:autoSpaceDN/>
        <w:bidi w:val="0"/>
        <w:spacing w:line="520" w:lineRule="exact"/>
        <w:ind w:firstLine="643" w:firstLineChars="200"/>
        <w:rPr>
          <w:rFonts w:hint="default" w:ascii="Times New Roman" w:hAnsi="Times New Roman" w:eastAsia="仿宋" w:cs="Times New Roman"/>
          <w:b/>
          <w:bCs/>
          <w:color w:val="auto"/>
          <w:sz w:val="32"/>
          <w:szCs w:val="32"/>
          <w:lang w:eastAsia="zh-Hans"/>
        </w:rPr>
      </w:pPr>
      <w:r>
        <w:rPr>
          <w:rFonts w:hint="default" w:ascii="Times New Roman" w:hAnsi="Times New Roman" w:eastAsia="仿宋" w:cs="Times New Roman"/>
          <w:b/>
          <w:bCs/>
          <w:color w:val="auto"/>
          <w:sz w:val="32"/>
          <w:szCs w:val="32"/>
          <w:lang w:eastAsia="zh-Hans"/>
        </w:rPr>
        <w:t>3.产教融合战略</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lang w:eastAsia="zh-Hans"/>
        </w:rPr>
      </w:pPr>
      <w:r>
        <w:rPr>
          <w:rFonts w:hint="default" w:ascii="Times New Roman" w:hAnsi="Times New Roman" w:eastAsia="仿宋" w:cs="Times New Roman"/>
          <w:color w:val="auto"/>
          <w:sz w:val="32"/>
          <w:szCs w:val="32"/>
          <w:lang w:eastAsia="zh-Hans"/>
        </w:rPr>
        <w:t>围绕应用型人才培养目标，开放办学，充分利用社会资源，深入开展校企合作办学，促进专业设置、课程</w:t>
      </w:r>
      <w:r>
        <w:rPr>
          <w:rFonts w:hint="eastAsia" w:ascii="Times New Roman" w:hAnsi="Times New Roman" w:eastAsia="仿宋" w:cs="Times New Roman"/>
          <w:color w:val="auto"/>
          <w:sz w:val="32"/>
          <w:szCs w:val="32"/>
          <w:lang w:val="en-US" w:eastAsia="zh-CN"/>
        </w:rPr>
        <w:t>体系</w:t>
      </w:r>
      <w:r>
        <w:rPr>
          <w:rFonts w:hint="default" w:ascii="Times New Roman" w:hAnsi="Times New Roman" w:eastAsia="仿宋" w:cs="Times New Roman"/>
          <w:color w:val="auto"/>
          <w:sz w:val="32"/>
          <w:szCs w:val="32"/>
          <w:lang w:eastAsia="zh-Hans"/>
        </w:rPr>
        <w:t>、</w:t>
      </w:r>
      <w:r>
        <w:rPr>
          <w:rFonts w:hint="eastAsia" w:ascii="Times New Roman" w:hAnsi="Times New Roman" w:eastAsia="仿宋" w:cs="Times New Roman"/>
          <w:color w:val="auto"/>
          <w:sz w:val="32"/>
          <w:szCs w:val="32"/>
          <w:lang w:val="en-US" w:eastAsia="zh-CN"/>
        </w:rPr>
        <w:t>教学内容及方法</w:t>
      </w:r>
      <w:r>
        <w:rPr>
          <w:rFonts w:hint="default" w:ascii="Times New Roman" w:hAnsi="Times New Roman" w:eastAsia="仿宋" w:cs="Times New Roman"/>
          <w:color w:val="auto"/>
          <w:sz w:val="32"/>
          <w:szCs w:val="32"/>
          <w:lang w:eastAsia="zh-Hans"/>
        </w:rPr>
        <w:t>与地方经济社会需求对接，提升双师型队伍水平，优化实验室软硬件环境，促进学生就业，提升</w:t>
      </w:r>
      <w:r>
        <w:rPr>
          <w:rFonts w:hint="eastAsia" w:ascii="Times New Roman" w:hAnsi="Times New Roman" w:eastAsia="仿宋" w:cs="Times New Roman"/>
          <w:color w:val="auto"/>
          <w:sz w:val="32"/>
          <w:szCs w:val="32"/>
          <w:lang w:val="en-US" w:eastAsia="zh-CN"/>
        </w:rPr>
        <w:t>应用型</w:t>
      </w:r>
      <w:r>
        <w:rPr>
          <w:rFonts w:hint="default" w:ascii="Times New Roman" w:hAnsi="Times New Roman" w:eastAsia="仿宋" w:cs="Times New Roman"/>
          <w:color w:val="auto"/>
          <w:sz w:val="32"/>
          <w:szCs w:val="32"/>
          <w:lang w:eastAsia="zh-Hans"/>
        </w:rPr>
        <w:t>办学水平。</w:t>
      </w:r>
    </w:p>
    <w:p>
      <w:pPr>
        <w:pageBreakBefore w:val="0"/>
        <w:kinsoku/>
        <w:wordWrap/>
        <w:overflowPunct/>
        <w:topLinePunct w:val="0"/>
        <w:autoSpaceDE/>
        <w:autoSpaceDN/>
        <w:bidi w:val="0"/>
        <w:spacing w:line="520" w:lineRule="exact"/>
        <w:ind w:firstLine="643" w:firstLineChars="200"/>
        <w:rPr>
          <w:rFonts w:hint="default" w:ascii="Times New Roman" w:hAnsi="Times New Roman" w:eastAsia="仿宋" w:cs="Times New Roman"/>
          <w:b/>
          <w:bCs/>
          <w:color w:val="auto"/>
          <w:sz w:val="32"/>
          <w:szCs w:val="32"/>
          <w:lang w:eastAsia="zh-Hans"/>
        </w:rPr>
      </w:pPr>
      <w:r>
        <w:rPr>
          <w:rFonts w:hint="default" w:ascii="Times New Roman" w:hAnsi="Times New Roman" w:eastAsia="仿宋" w:cs="Times New Roman"/>
          <w:b/>
          <w:bCs/>
          <w:color w:val="auto"/>
          <w:sz w:val="32"/>
          <w:szCs w:val="32"/>
          <w:lang w:eastAsia="zh-Hans"/>
        </w:rPr>
        <w:t>4.科研提升战略</w:t>
      </w:r>
    </w:p>
    <w:p>
      <w:pPr>
        <w:pageBreakBefore w:val="0"/>
        <w:kinsoku/>
        <w:wordWrap/>
        <w:overflowPunct/>
        <w:topLinePunct w:val="0"/>
        <w:autoSpaceDE/>
        <w:autoSpaceDN/>
        <w:bidi w:val="0"/>
        <w:spacing w:line="520" w:lineRule="exact"/>
        <w:ind w:firstLine="640" w:firstLineChars="200"/>
        <w:rPr>
          <w:rFonts w:hint="default" w:ascii="Times New Roman" w:hAnsi="Times New Roman" w:cs="Times New Roman"/>
          <w:color w:val="auto"/>
        </w:rPr>
      </w:pPr>
      <w:r>
        <w:rPr>
          <w:rFonts w:hint="default" w:ascii="Times New Roman" w:hAnsi="Times New Roman" w:eastAsia="仿宋" w:cs="Times New Roman"/>
          <w:color w:val="auto"/>
          <w:sz w:val="32"/>
          <w:szCs w:val="32"/>
          <w:lang w:eastAsia="zh-Hans"/>
        </w:rPr>
        <w:t>坚持立足湖北、面向中部、辐射全国的服务面向定位，瞄准国家、地方、行业科技创新体系和产业发展目标，凝练科技创新方向，规划和培育一批高水平科技创新团队，围绕地方经济与社会发展需求，提升学校科技创新和社会服务能力，承接一批有影响力的重大科研创新项目。</w:t>
      </w:r>
      <w:bookmarkStart w:id="21" w:name="_Toc168427201"/>
      <w:bookmarkStart w:id="22" w:name="_Toc1678003573"/>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楷体_GB2312" w:hAnsi="楷体_GB2312" w:eastAsia="楷体_GB2312" w:cs="楷体_GB2312"/>
          <w:b w:val="0"/>
          <w:bCs w:val="0"/>
          <w:color w:val="auto"/>
        </w:rPr>
      </w:pPr>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三</w:t>
      </w:r>
      <w:r>
        <w:rPr>
          <w:rFonts w:hint="eastAsia" w:ascii="楷体_GB2312" w:hAnsi="楷体_GB2312" w:eastAsia="楷体_GB2312" w:cs="楷体_GB2312"/>
          <w:b w:val="0"/>
          <w:bCs w:val="0"/>
          <w:color w:val="auto"/>
        </w:rPr>
        <w:t>）</w:t>
      </w:r>
      <w:bookmarkEnd w:id="21"/>
      <w:r>
        <w:rPr>
          <w:rFonts w:hint="eastAsia" w:ascii="楷体_GB2312" w:hAnsi="楷体_GB2312" w:eastAsia="楷体_GB2312" w:cs="楷体_GB2312"/>
          <w:b w:val="0"/>
          <w:bCs w:val="0"/>
          <w:color w:val="auto"/>
          <w:lang w:eastAsia="zh-Hans"/>
        </w:rPr>
        <w:t>发展目标</w:t>
      </w:r>
      <w:bookmarkEnd w:id="22"/>
    </w:p>
    <w:p>
      <w:pPr>
        <w:keepNext/>
        <w:keepLines/>
        <w:pageBreakBefore w:val="0"/>
        <w:kinsoku/>
        <w:wordWrap/>
        <w:overflowPunct/>
        <w:topLinePunct w:val="0"/>
        <w:autoSpaceDE/>
        <w:autoSpaceDN/>
        <w:bidi w:val="0"/>
        <w:spacing w:line="520" w:lineRule="exact"/>
        <w:ind w:firstLine="643" w:firstLineChars="200"/>
        <w:jc w:val="left"/>
        <w:rPr>
          <w:rFonts w:hint="default" w:ascii="Times New Roman" w:hAnsi="Times New Roman" w:eastAsia="仿宋" w:cs="Times New Roman"/>
          <w:b/>
          <w:bCs/>
          <w:color w:val="auto"/>
          <w:sz w:val="32"/>
          <w:szCs w:val="36"/>
        </w:rPr>
      </w:pPr>
      <w:bookmarkStart w:id="23" w:name="_Toc1165512025"/>
      <w:bookmarkStart w:id="24" w:name="_Toc865"/>
      <w:bookmarkStart w:id="25" w:name="_Toc51872785"/>
      <w:bookmarkStart w:id="26" w:name="_Toc1885955814"/>
      <w:bookmarkStart w:id="27" w:name="_Toc1391983355"/>
      <w:bookmarkStart w:id="28" w:name="_Toc477575308"/>
      <w:bookmarkStart w:id="29" w:name="_Toc4355"/>
      <w:bookmarkStart w:id="30" w:name="_Toc649064643"/>
      <w:bookmarkStart w:id="31" w:name="_Toc52041225"/>
      <w:bookmarkStart w:id="32" w:name="_Toc372520461"/>
      <w:bookmarkStart w:id="33" w:name="_Toc1599558133"/>
      <w:bookmarkStart w:id="34" w:name="_Toc19909"/>
      <w:bookmarkStart w:id="35" w:name="_Toc1171387513"/>
      <w:bookmarkStart w:id="36" w:name="_Toc5679"/>
      <w:bookmarkStart w:id="37" w:name="_Toc521027870"/>
      <w:bookmarkStart w:id="38" w:name="_Toc388581553"/>
      <w:bookmarkStart w:id="39" w:name="_Toc18059"/>
      <w:bookmarkStart w:id="40" w:name="_Toc487213721"/>
      <w:r>
        <w:rPr>
          <w:rFonts w:hint="default" w:ascii="Times New Roman" w:hAnsi="Times New Roman" w:eastAsia="仿宋" w:cs="Times New Roman"/>
          <w:b/>
          <w:bCs/>
          <w:color w:val="auto"/>
          <w:sz w:val="32"/>
          <w:szCs w:val="36"/>
        </w:rPr>
        <w:t>1.总体目标</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lang w:eastAsia="zh-Hans"/>
        </w:rPr>
      </w:pPr>
      <w:r>
        <w:rPr>
          <w:rFonts w:hint="default" w:ascii="Times New Roman" w:hAnsi="Times New Roman" w:eastAsia="仿宋" w:cs="Times New Roman"/>
          <w:color w:val="auto"/>
          <w:sz w:val="32"/>
          <w:szCs w:val="32"/>
          <w:lang w:eastAsia="zh-Hans"/>
        </w:rPr>
        <w:t>今后一段时期，学校将实施“三步走”战略：</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lang w:eastAsia="zh-Hans"/>
        </w:rPr>
      </w:pPr>
      <w:bookmarkStart w:id="41" w:name="_Hlk79674585"/>
      <w:r>
        <w:rPr>
          <w:rFonts w:hint="default" w:ascii="Times New Roman" w:hAnsi="Times New Roman" w:eastAsia="仿宋" w:cs="Times New Roman"/>
          <w:color w:val="auto"/>
          <w:sz w:val="32"/>
          <w:szCs w:val="32"/>
          <w:lang w:eastAsia="zh-Hans"/>
        </w:rPr>
        <w:t>第一步（2021-2025），强内涵。“十四五”时期，学校发展的总体思路是“内涵建设、特色发展、质量提升、开放办学”，重点建设符合湖北产业布局和学校服务定位的学科专业，深化产教融合，建强师资队伍，改善办学条件，优化应用型办学体系，提高教育教学质量，提升办学实力和水平，通过教育部本科教学工作合格评估，为把学校建成高水平应用型大学奠定坚实基础。</w:t>
      </w:r>
    </w:p>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 w:cs="Times New Roman"/>
          <w:color w:val="auto"/>
          <w:sz w:val="32"/>
          <w:szCs w:val="32"/>
          <w:lang w:eastAsia="zh-Hans"/>
        </w:rPr>
      </w:pPr>
      <w:r>
        <w:rPr>
          <w:rFonts w:hint="default" w:ascii="Times New Roman" w:hAnsi="Times New Roman" w:eastAsia="仿宋" w:cs="Times New Roman"/>
          <w:color w:val="auto"/>
          <w:sz w:val="32"/>
          <w:szCs w:val="32"/>
          <w:lang w:eastAsia="zh-Hans"/>
        </w:rPr>
        <w:t>第二步（2026-2030），显特色。进一步创新发展理念，推动学校综合改革，建成一批对接湖北主导产业和战略性新兴产业的特色专业，建设一流师资队伍，拥有一流办学条件，积极创造条件争取获批硕士学位授权点，通过教育部本科教学工作审核评估，基本建成具有特色的高水平应用型大学。</w:t>
      </w:r>
    </w:p>
    <w:bookmarkEnd w:id="41"/>
    <w:p>
      <w:pPr>
        <w:pageBreakBefore w:val="0"/>
        <w:kinsoku/>
        <w:wordWrap/>
        <w:overflowPunct/>
        <w:topLinePunct w:val="0"/>
        <w:autoSpaceDE/>
        <w:autoSpaceDN/>
        <w:bidi w:val="0"/>
        <w:spacing w:line="520" w:lineRule="exact"/>
        <w:ind w:firstLine="640" w:firstLineChars="200"/>
        <w:rPr>
          <w:rFonts w:hint="default" w:ascii="Times New Roman" w:hAnsi="Times New Roman" w:eastAsia="仿宋_GB2312" w:cs="Times New Roman"/>
          <w:color w:val="auto"/>
          <w:sz w:val="28"/>
          <w:szCs w:val="28"/>
          <w:highlight w:val="none"/>
        </w:rPr>
      </w:pPr>
      <w:r>
        <w:rPr>
          <w:rFonts w:hint="default" w:ascii="Times New Roman" w:hAnsi="Times New Roman" w:eastAsia="仿宋" w:cs="Times New Roman"/>
          <w:color w:val="auto"/>
          <w:sz w:val="32"/>
          <w:szCs w:val="32"/>
          <w:lang w:eastAsia="zh-Hans"/>
        </w:rPr>
        <w:t>第三步（2031-2035），成品牌。到2035年，学校学科专业特色鲜明，师资队伍雄厚，教学设施先进，校园文化高雅，校园环境优美，学生享受优质教育，员工实现美好生活追求，成为在全国有影响的高水平应用型大学品牌。</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2.</w:t>
      </w:r>
      <w:r>
        <w:rPr>
          <w:rFonts w:hint="default" w:ascii="Times New Roman" w:hAnsi="Times New Roman" w:eastAsia="仿宋" w:cs="Times New Roman"/>
          <w:b/>
          <w:bCs/>
          <w:color w:val="auto"/>
          <w:sz w:val="32"/>
          <w:szCs w:val="32"/>
          <w:lang w:eastAsia="zh-Hans"/>
        </w:rPr>
        <w:t>“</w:t>
      </w:r>
      <w:r>
        <w:rPr>
          <w:rFonts w:hint="default" w:ascii="Times New Roman" w:hAnsi="Times New Roman" w:eastAsia="仿宋" w:cs="Times New Roman"/>
          <w:b/>
          <w:bCs/>
          <w:color w:val="auto"/>
          <w:sz w:val="32"/>
          <w:szCs w:val="32"/>
        </w:rPr>
        <w:t>十四五</w:t>
      </w:r>
      <w:r>
        <w:rPr>
          <w:rFonts w:hint="default" w:ascii="Times New Roman" w:hAnsi="Times New Roman" w:eastAsia="仿宋" w:cs="Times New Roman"/>
          <w:b/>
          <w:bCs/>
          <w:color w:val="auto"/>
          <w:sz w:val="32"/>
          <w:szCs w:val="32"/>
          <w:lang w:eastAsia="zh-Hans"/>
        </w:rPr>
        <w:t>”</w:t>
      </w:r>
      <w:r>
        <w:rPr>
          <w:rFonts w:hint="default" w:ascii="Times New Roman" w:hAnsi="Times New Roman" w:eastAsia="仿宋" w:cs="Times New Roman"/>
          <w:b/>
          <w:bCs/>
          <w:color w:val="auto"/>
          <w:sz w:val="32"/>
          <w:szCs w:val="32"/>
        </w:rPr>
        <w:t>发展目标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依据“三步走”战略安排，</w:t>
      </w:r>
      <w:r>
        <w:rPr>
          <w:rFonts w:hint="default" w:ascii="Times New Roman" w:hAnsi="Times New Roman" w:eastAsia="仿宋" w:cs="Times New Roman"/>
          <w:color w:val="auto"/>
          <w:sz w:val="32"/>
          <w:szCs w:val="32"/>
          <w:lang w:eastAsia="zh-Hans"/>
        </w:rPr>
        <w:t>“</w:t>
      </w:r>
      <w:r>
        <w:rPr>
          <w:rFonts w:hint="default" w:ascii="Times New Roman" w:hAnsi="Times New Roman" w:eastAsia="仿宋" w:cs="Times New Roman"/>
          <w:color w:val="auto"/>
          <w:sz w:val="32"/>
          <w:szCs w:val="32"/>
        </w:rPr>
        <w:t>十四五</w:t>
      </w:r>
      <w:r>
        <w:rPr>
          <w:rFonts w:hint="default" w:ascii="Times New Roman" w:hAnsi="Times New Roman" w:eastAsia="仿宋" w:cs="Times New Roman"/>
          <w:color w:val="auto"/>
          <w:sz w:val="32"/>
          <w:szCs w:val="32"/>
          <w:lang w:eastAsia="zh-Hans"/>
        </w:rPr>
        <w:t>”</w:t>
      </w:r>
      <w:r>
        <w:rPr>
          <w:rFonts w:hint="default" w:ascii="Times New Roman" w:hAnsi="Times New Roman" w:eastAsia="仿宋" w:cs="Times New Roman"/>
          <w:color w:val="auto"/>
          <w:sz w:val="32"/>
          <w:szCs w:val="32"/>
        </w:rPr>
        <w:t>期间，学校将依据“强内涵”的总体</w:t>
      </w:r>
      <w:r>
        <w:rPr>
          <w:rFonts w:hint="default" w:ascii="Times New Roman" w:hAnsi="Times New Roman" w:eastAsia="仿宋" w:cs="Times New Roman"/>
          <w:color w:val="auto"/>
          <w:sz w:val="32"/>
          <w:szCs w:val="32"/>
          <w:lang w:eastAsia="zh-Hans"/>
        </w:rPr>
        <w:t>目标</w:t>
      </w:r>
      <w:r>
        <w:rPr>
          <w:rFonts w:hint="default" w:ascii="Times New Roman" w:hAnsi="Times New Roman" w:eastAsia="仿宋" w:cs="Times New Roman"/>
          <w:color w:val="auto"/>
          <w:sz w:val="32"/>
          <w:szCs w:val="32"/>
        </w:rPr>
        <w:t>，科学筹划，创新思维，精心设计，求真务实，努力实现以下发展目标：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 xml:space="preserve">——办学规模基本稳定。办学规模与结构进一步优化，全日制在校生规模不高于18000人，其中本科生14500人，专科生3500人。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eastAsia="zh-Hans"/>
        </w:rPr>
        <w:t>人才</w:t>
      </w:r>
      <w:r>
        <w:rPr>
          <w:rFonts w:hint="default" w:ascii="Times New Roman" w:hAnsi="Times New Roman" w:eastAsia="仿宋" w:cs="Times New Roman"/>
          <w:color w:val="auto"/>
          <w:sz w:val="32"/>
          <w:szCs w:val="32"/>
        </w:rPr>
        <w:t>培养质量全面提升。进一步推进学科专业建设，以国家和省级一流本科专业建设点获批为契机，加强一流专业建设点建设，提升专业建设水平，增加一流专业数量；在条件具备时启动部分优势专业的认证工作；加强课程建设，增加</w:t>
      </w:r>
      <w:r>
        <w:rPr>
          <w:rFonts w:hint="default" w:ascii="Times New Roman" w:hAnsi="Times New Roman" w:eastAsia="仿宋" w:cs="Times New Roman"/>
          <w:color w:val="auto"/>
          <w:sz w:val="32"/>
          <w:szCs w:val="32"/>
          <w:lang w:eastAsia="zh-Hans"/>
        </w:rPr>
        <w:t>一流</w:t>
      </w:r>
      <w:r>
        <w:rPr>
          <w:rFonts w:hint="default" w:ascii="Times New Roman" w:hAnsi="Times New Roman" w:eastAsia="仿宋" w:cs="Times New Roman"/>
          <w:color w:val="auto"/>
          <w:sz w:val="32"/>
          <w:szCs w:val="32"/>
        </w:rPr>
        <w:t>课程数量；加强基础实验室和专业实验室建设；持续推进教育教学改革，提升教学质量；抓数字化环境建设和资源运用，提升师生应用能力和信息素养；重视文明修身工作，“五育并举”培养有社会责任感的高素质应用型人才，使学校成为服务地方经济与社会发展的重要人才培养基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师资队伍整体强化。师资队伍水平进一步提升，严格落实师德师风要求，适度扩大师资规模与自有师资数量，学校总生师比达到18:1，自有教师占比不少于60%；优化各专业生师比，降低部分较高专业的生师比；加大力度培训和提升教师教学、科研以及社会服务能力，注重</w:t>
      </w:r>
      <w:r>
        <w:rPr>
          <w:rFonts w:hint="default" w:ascii="Times New Roman" w:hAnsi="Times New Roman" w:eastAsia="仿宋" w:cs="Times New Roman"/>
          <w:color w:val="auto"/>
          <w:sz w:val="32"/>
          <w:szCs w:val="32"/>
          <w:lang w:eastAsia="zh-Hans"/>
        </w:rPr>
        <w:t>高层次人才和</w:t>
      </w:r>
      <w:r>
        <w:rPr>
          <w:rFonts w:hint="default" w:ascii="Times New Roman" w:hAnsi="Times New Roman" w:eastAsia="仿宋" w:cs="Times New Roman"/>
          <w:color w:val="auto"/>
          <w:sz w:val="32"/>
          <w:szCs w:val="32"/>
        </w:rPr>
        <w:t>青年教师引进与培养，提高博士教师占比，促进师资队伍结构的进一步优化，实力进一步提高。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——科研能力显著增强。学科建设与科学研究取得重要进展，重点科研领域和科研方向明确，重点科研团队、科研平台、科研基地建设成效明显，国家和地方纵向与横向科研项目以及产学研合作项目逐步增加，在</w:t>
      </w:r>
      <w:r>
        <w:rPr>
          <w:rFonts w:hint="default" w:ascii="Times New Roman" w:hAnsi="Times New Roman" w:eastAsia="仿宋" w:cs="Times New Roman"/>
          <w:color w:val="auto"/>
          <w:sz w:val="32"/>
          <w:szCs w:val="32"/>
          <w:lang w:eastAsia="zh-Hans"/>
        </w:rPr>
        <w:t>服务</w:t>
      </w:r>
      <w:r>
        <w:rPr>
          <w:rFonts w:hint="default" w:ascii="Times New Roman" w:hAnsi="Times New Roman" w:eastAsia="仿宋" w:cs="Times New Roman"/>
          <w:color w:val="auto"/>
          <w:sz w:val="32"/>
          <w:szCs w:val="32"/>
        </w:rPr>
        <w:t>地方经济建设中涌现一批具有影响力的科技成果，学校科研竞争力得到明显提升。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——办学特色逐步彰显。OBE</w:t>
      </w:r>
      <w:r>
        <w:rPr>
          <w:rFonts w:hint="default" w:ascii="Times New Roman" w:hAnsi="Times New Roman" w:eastAsia="仿宋" w:cs="Times New Roman"/>
          <w:color w:val="auto"/>
          <w:sz w:val="32"/>
          <w:szCs w:val="32"/>
          <w:lang w:eastAsia="zh-Hans"/>
        </w:rPr>
        <w:t>运行体系更加完整、完善，建立起“评教+评学”的“双评”机制；产教融合进一步深入，在现有共建实习实训基地、共建实验室等基础上，建立若干运行成熟的产业学院。</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——基础条件全面优化。办学环境进一步改善，双校区功能布局更趋完善，校园环境更加优美，公共服务体系及基础设施建设进一步完善，初步建成数字化校园。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——治理水平逐步提升。现代大学治理结构</w:t>
      </w:r>
      <w:r>
        <w:rPr>
          <w:rFonts w:hint="default" w:ascii="Times New Roman" w:hAnsi="Times New Roman" w:eastAsia="仿宋" w:cs="Times New Roman"/>
          <w:color w:val="auto"/>
          <w:sz w:val="32"/>
          <w:szCs w:val="32"/>
          <w:lang w:eastAsia="zh-Hans"/>
        </w:rPr>
        <w:t>日趋完善</w:t>
      </w:r>
      <w:r>
        <w:rPr>
          <w:rFonts w:hint="default" w:ascii="Times New Roman" w:hAnsi="Times New Roman" w:eastAsia="仿宋" w:cs="Times New Roman"/>
          <w:color w:val="auto"/>
          <w:sz w:val="32"/>
          <w:szCs w:val="32"/>
        </w:rPr>
        <w:t>，学校治理体系</w:t>
      </w:r>
      <w:r>
        <w:rPr>
          <w:rFonts w:hint="eastAsia" w:ascii="Times New Roman" w:hAnsi="Times New Roman" w:eastAsia="仿宋" w:cs="Times New Roman"/>
          <w:color w:val="auto"/>
          <w:sz w:val="32"/>
          <w:szCs w:val="32"/>
          <w:highlight w:val="none"/>
          <w:lang w:val="en-US" w:eastAsia="zh-CN"/>
        </w:rPr>
        <w:t>日益健全</w:t>
      </w:r>
      <w:r>
        <w:rPr>
          <w:rFonts w:hint="eastAsia"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治理能力现代化</w:t>
      </w:r>
      <w:r>
        <w:rPr>
          <w:rFonts w:hint="default" w:ascii="Times New Roman" w:hAnsi="Times New Roman" w:eastAsia="仿宋" w:cs="Times New Roman"/>
          <w:color w:val="auto"/>
          <w:sz w:val="32"/>
          <w:szCs w:val="32"/>
          <w:lang w:eastAsia="zh-Hans"/>
        </w:rPr>
        <w:t>水平得到大幅提升</w:t>
      </w:r>
      <w:r>
        <w:rPr>
          <w:rFonts w:hint="default" w:ascii="Times New Roman" w:hAnsi="Times New Roman" w:eastAsia="仿宋" w:cs="Times New Roman"/>
          <w:color w:val="auto"/>
          <w:sz w:val="32"/>
          <w:szCs w:val="32"/>
        </w:rPr>
        <w:t>，增强学校“软实力”。</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color w:val="auto"/>
          <w:sz w:val="32"/>
          <w:szCs w:val="32"/>
          <w:highlight w:val="yellow"/>
        </w:rPr>
      </w:pPr>
      <w:r>
        <w:rPr>
          <w:rFonts w:hint="default" w:ascii="Times New Roman" w:hAnsi="Times New Roman" w:eastAsia="仿宋" w:cs="Times New Roman"/>
          <w:color w:val="auto"/>
          <w:sz w:val="32"/>
          <w:szCs w:val="32"/>
        </w:rPr>
        <w:t>——教职工收入水平与福利待遇逐步提高。学校通过服务地方经济社会发展，整合资源，开放合作，以及推进国际交流与合作，联合办学，联办课程，文化交流等形式，获得良好的社会效益和经济效益，逐步提高教职工的收入水平和福利待遇。</w:t>
      </w:r>
    </w:p>
    <w:p>
      <w:pPr>
        <w:keepNext/>
        <w:keepLines/>
        <w:pageBreakBefore w:val="0"/>
        <w:kinsoku/>
        <w:wordWrap/>
        <w:overflowPunct/>
        <w:topLinePunct w:val="0"/>
        <w:autoSpaceDE/>
        <w:autoSpaceDN/>
        <w:bidi w:val="0"/>
        <w:snapToGrid/>
        <w:spacing w:line="520" w:lineRule="exact"/>
        <w:ind w:firstLine="643" w:firstLineChars="200"/>
        <w:jc w:val="left"/>
        <w:textAlignment w:val="auto"/>
        <w:rPr>
          <w:rFonts w:hint="default" w:ascii="Times New Roman" w:hAnsi="Times New Roman" w:eastAsia="仿宋" w:cs="Times New Roman"/>
          <w:b/>
          <w:bCs/>
          <w:color w:val="auto"/>
          <w:sz w:val="32"/>
          <w:szCs w:val="36"/>
        </w:rPr>
      </w:pPr>
      <w:bookmarkStart w:id="42" w:name="_Toc8568"/>
      <w:bookmarkStart w:id="43" w:name="_Toc31990"/>
      <w:bookmarkStart w:id="44" w:name="_Toc11580"/>
      <w:bookmarkStart w:id="45" w:name="_Toc17016"/>
      <w:bookmarkStart w:id="46" w:name="_Toc27081"/>
      <w:bookmarkStart w:id="47" w:name="_Toc1760011788"/>
      <w:bookmarkStart w:id="48" w:name="_Toc245862836"/>
      <w:bookmarkStart w:id="49" w:name="_Toc392390744"/>
      <w:bookmarkStart w:id="50" w:name="_Toc1624582271"/>
      <w:bookmarkStart w:id="51" w:name="_Toc1562259888"/>
      <w:bookmarkStart w:id="52" w:name="_Toc1461812717"/>
      <w:bookmarkStart w:id="53" w:name="_Toc1527338942"/>
      <w:bookmarkStart w:id="54" w:name="_Toc377397067"/>
      <w:bookmarkStart w:id="55" w:name="_Toc1036557022"/>
      <w:bookmarkStart w:id="56" w:name="_Toc1573248185"/>
      <w:bookmarkStart w:id="57" w:name="_Toc400736178"/>
      <w:bookmarkStart w:id="58" w:name="_Hlk52135967"/>
      <w:r>
        <w:rPr>
          <w:rFonts w:hint="default" w:ascii="Times New Roman" w:hAnsi="Times New Roman" w:eastAsia="仿宋" w:cs="Times New Roman"/>
          <w:b/>
          <w:bCs/>
          <w:color w:val="auto"/>
          <w:sz w:val="32"/>
          <w:szCs w:val="36"/>
        </w:rPr>
        <w:t>3</w:t>
      </w:r>
      <w:bookmarkEnd w:id="42"/>
      <w:bookmarkEnd w:id="43"/>
      <w:bookmarkEnd w:id="44"/>
      <w:bookmarkEnd w:id="45"/>
      <w:bookmarkEnd w:id="46"/>
      <w:r>
        <w:rPr>
          <w:rFonts w:hint="default" w:ascii="Times New Roman" w:hAnsi="Times New Roman" w:eastAsia="仿宋" w:cs="Times New Roman"/>
          <w:b/>
          <w:bCs/>
          <w:color w:val="auto"/>
          <w:sz w:val="32"/>
          <w:szCs w:val="36"/>
        </w:rPr>
        <w:t>.</w:t>
      </w:r>
      <w:r>
        <w:rPr>
          <w:rFonts w:hint="default" w:ascii="Times New Roman" w:hAnsi="Times New Roman" w:eastAsia="仿宋" w:cs="Times New Roman"/>
          <w:b/>
          <w:bCs/>
          <w:color w:val="auto"/>
          <w:sz w:val="32"/>
          <w:szCs w:val="36"/>
          <w:lang w:eastAsia="zh-Hans"/>
        </w:rPr>
        <w:t>“</w:t>
      </w:r>
      <w:r>
        <w:rPr>
          <w:rFonts w:hint="default" w:ascii="Times New Roman" w:hAnsi="Times New Roman" w:eastAsia="仿宋" w:cs="Times New Roman"/>
          <w:b/>
          <w:bCs/>
          <w:color w:val="auto"/>
          <w:sz w:val="32"/>
          <w:szCs w:val="36"/>
        </w:rPr>
        <w:t>十四五</w:t>
      </w:r>
      <w:r>
        <w:rPr>
          <w:rFonts w:hint="default" w:ascii="Times New Roman" w:hAnsi="Times New Roman" w:eastAsia="仿宋" w:cs="Times New Roman"/>
          <w:b/>
          <w:bCs/>
          <w:color w:val="auto"/>
          <w:sz w:val="32"/>
          <w:szCs w:val="36"/>
          <w:lang w:eastAsia="zh-Hans"/>
        </w:rPr>
        <w:t>”</w:t>
      </w:r>
      <w:r>
        <w:rPr>
          <w:rFonts w:hint="default" w:ascii="Times New Roman" w:hAnsi="Times New Roman" w:eastAsia="仿宋" w:cs="Times New Roman"/>
          <w:b/>
          <w:bCs/>
          <w:color w:val="auto"/>
          <w:sz w:val="32"/>
          <w:szCs w:val="36"/>
        </w:rPr>
        <w:t>发展主要指标</w:t>
      </w:r>
      <w:bookmarkEnd w:id="47"/>
      <w:bookmarkEnd w:id="48"/>
      <w:bookmarkEnd w:id="49"/>
      <w:bookmarkEnd w:id="50"/>
      <w:bookmarkEnd w:id="51"/>
      <w:bookmarkEnd w:id="52"/>
      <w:bookmarkEnd w:id="53"/>
      <w:bookmarkEnd w:id="54"/>
      <w:bookmarkEnd w:id="55"/>
      <w:bookmarkEnd w:id="56"/>
      <w:bookmarkEnd w:id="57"/>
    </w:p>
    <w:p>
      <w:pPr>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Times New Roman" w:hAnsi="Times New Roman" w:eastAsia="仿宋" w:cs="Times New Roman"/>
          <w:b/>
          <w:bCs/>
          <w:color w:val="auto"/>
          <w:kern w:val="0"/>
          <w:sz w:val="24"/>
          <w:lang w:eastAsia="zh-Hans"/>
        </w:rPr>
      </w:pPr>
      <w:r>
        <w:rPr>
          <w:rFonts w:hint="default" w:ascii="Times New Roman" w:hAnsi="Times New Roman" w:eastAsia="仿宋" w:cs="Times New Roman"/>
          <w:b/>
          <w:bCs/>
          <w:color w:val="auto"/>
          <w:kern w:val="0"/>
          <w:sz w:val="24"/>
        </w:rPr>
        <w:t>表1</w:t>
      </w:r>
      <w:r>
        <w:rPr>
          <w:rFonts w:hint="eastAsia" w:ascii="Times New Roman" w:hAnsi="Times New Roman" w:eastAsia="仿宋" w:cs="Times New Roman"/>
          <w:b/>
          <w:bCs/>
          <w:color w:val="auto"/>
          <w:kern w:val="0"/>
          <w:sz w:val="24"/>
          <w:lang w:val="en-US" w:eastAsia="zh-CN"/>
        </w:rPr>
        <w:t>.</w:t>
      </w:r>
      <w:r>
        <w:rPr>
          <w:rFonts w:hint="default" w:ascii="Times New Roman" w:hAnsi="Times New Roman" w:eastAsia="仿宋" w:cs="Times New Roman"/>
          <w:b/>
          <w:bCs/>
          <w:color w:val="auto"/>
          <w:kern w:val="0"/>
          <w:sz w:val="24"/>
        </w:rPr>
        <w:t>“十四五”主要</w:t>
      </w:r>
      <w:r>
        <w:rPr>
          <w:rFonts w:hint="default" w:ascii="Times New Roman" w:hAnsi="Times New Roman" w:eastAsia="仿宋" w:cs="Times New Roman"/>
          <w:b/>
          <w:bCs/>
          <w:color w:val="auto"/>
          <w:kern w:val="0"/>
          <w:sz w:val="24"/>
          <w:lang w:eastAsia="zh-Hans"/>
        </w:rPr>
        <w:t>指标</w:t>
      </w:r>
    </w:p>
    <w:tbl>
      <w:tblPr>
        <w:tblStyle w:val="15"/>
        <w:tblW w:w="898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4350"/>
        <w:gridCol w:w="35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tblHeader/>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指标类型</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指标名称</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w:t>
            </w:r>
            <w:r>
              <w:rPr>
                <w:rStyle w:val="37"/>
                <w:lang w:val="en-US" w:eastAsia="zh-CN" w:bidi="ar"/>
              </w:rPr>
              <w:t>十四五</w:t>
            </w:r>
            <w:r>
              <w:rPr>
                <w:rStyle w:val="38"/>
                <w:rFonts w:eastAsia="宋体"/>
                <w:lang w:val="en-US" w:eastAsia="zh-CN" w:bidi="ar"/>
              </w:rPr>
              <w:t>”</w:t>
            </w:r>
            <w:r>
              <w:rPr>
                <w:rStyle w:val="37"/>
                <w:lang w:val="en-US" w:eastAsia="zh-CN" w:bidi="ar"/>
              </w:rPr>
              <w:t>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办学规模</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本科生数量</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14500人左右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专科生数量</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3500人左右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人才培养</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新增省级优势（重点）学科</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新增国家一流本科专业</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力争实现1个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新增省级一流本科专业</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新增国家一流本科课程</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力争1门以上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新增省级一流本科课程</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10-20门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新增省级质量工程项目</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5-10项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新增省级教改项目</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5-10项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新增省级及以上教学成果获奖数量</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拟培育新兴专业</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新建产业学院</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新增校企共建专业（方向）</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新增校企共建实验室</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校际中外交流项目</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毕业生初次就业率</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高于省内同类院校平均水平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师资队伍</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生师比</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自有教师占比</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不低于60%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专任教师博士学历占比</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不低于20%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新增高层次领军人才（楚天学者/楚天学子、长江学者等）</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力争1人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省级教研团队（组织）</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科学研究</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重点建设科研方向</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智能制造、绿色智能建造、融媒体、农业与农村现代化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形成重点科研团队数量</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横向科研经费</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800万/年以上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国家级自科/社科项目数</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不低于5项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省级自科/社科项目数</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不低于15项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省部级</w:t>
            </w:r>
            <w:r>
              <w:rPr>
                <w:rStyle w:val="39"/>
                <w:lang w:val="en-US" w:eastAsia="zh-CN" w:bidi="ar"/>
              </w:rPr>
              <w:t>及以上奖项数</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核心期刊及三大检索论文</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专利数量</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办学条件</w:t>
            </w: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教学、科研仪器设备值</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15660万元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新增教学科研仪器设备所占比例</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每年增长1000万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新增智慧教室</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新增10间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实验室建设（新建/续建）</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0" w:lineRule="atLeast"/>
              <w:jc w:val="center"/>
              <w:rPr>
                <w:rFonts w:hint="eastAsia" w:ascii="仿宋" w:hAnsi="仿宋" w:eastAsia="仿宋" w:cs="仿宋"/>
                <w:b/>
                <w:bCs/>
                <w:i w:val="0"/>
                <w:iCs w:val="0"/>
                <w:color w:val="000000"/>
                <w:sz w:val="21"/>
                <w:szCs w:val="21"/>
                <w:u w:val="none"/>
              </w:rPr>
            </w:pPr>
          </w:p>
        </w:tc>
        <w:tc>
          <w:tcPr>
            <w:tcW w:w="4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实验室（实训基地）扩建</w:t>
            </w:r>
          </w:p>
        </w:tc>
        <w:tc>
          <w:tcPr>
            <w:tcW w:w="3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0" w:lineRule="atLeas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13个</w:t>
            </w:r>
          </w:p>
        </w:tc>
      </w:tr>
      <w:bookmarkEnd w:id="58"/>
    </w:tbl>
    <w:p>
      <w:pPr>
        <w:pStyle w:val="2"/>
        <w:pageBreakBefore w:val="0"/>
        <w:kinsoku/>
        <w:wordWrap/>
        <w:overflowPunct/>
        <w:topLinePunct w:val="0"/>
        <w:autoSpaceDE/>
        <w:autoSpaceDN/>
        <w:bidi w:val="0"/>
        <w:spacing w:before="0" w:beforeLines="0" w:after="0" w:afterLines="0" w:line="520" w:lineRule="exact"/>
        <w:ind w:firstLine="640" w:firstLineChars="200"/>
        <w:rPr>
          <w:rFonts w:hint="eastAsia" w:ascii="黑体" w:hAnsi="黑体" w:eastAsia="黑体" w:cs="黑体"/>
          <w:b w:val="0"/>
          <w:bCs w:val="0"/>
          <w:color w:val="auto"/>
        </w:rPr>
      </w:pPr>
      <w:bookmarkStart w:id="59" w:name="_Toc1026524290"/>
      <w:bookmarkStart w:id="60" w:name="_Toc1450799007"/>
      <w:r>
        <w:rPr>
          <w:rFonts w:hint="eastAsia" w:ascii="黑体" w:hAnsi="黑体" w:eastAsia="黑体" w:cs="黑体"/>
          <w:b w:val="0"/>
          <w:bCs w:val="0"/>
          <w:color w:val="auto"/>
          <w:lang w:eastAsia="zh-Hans"/>
        </w:rPr>
        <w:t>三</w:t>
      </w:r>
      <w:r>
        <w:rPr>
          <w:rFonts w:hint="eastAsia" w:ascii="黑体" w:hAnsi="黑体" w:eastAsia="黑体" w:cs="黑体"/>
          <w:b w:val="0"/>
          <w:bCs w:val="0"/>
          <w:color w:val="auto"/>
        </w:rPr>
        <w:t>、</w:t>
      </w:r>
      <w:bookmarkEnd w:id="59"/>
      <w:r>
        <w:rPr>
          <w:rFonts w:hint="eastAsia" w:ascii="黑体" w:hAnsi="黑体" w:eastAsia="黑体" w:cs="黑体"/>
          <w:b w:val="0"/>
          <w:bCs w:val="0"/>
          <w:color w:val="auto"/>
          <w:lang w:eastAsia="zh-Hans"/>
        </w:rPr>
        <w:t>主要任务与举措</w:t>
      </w:r>
      <w:bookmarkEnd w:id="60"/>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仿宋_GB2312" w:hAnsi="仿宋_GB2312" w:eastAsia="仿宋_GB2312" w:cs="仿宋_GB2312"/>
          <w:color w:val="auto"/>
        </w:rPr>
      </w:pPr>
      <w:bookmarkStart w:id="61" w:name="_Toc1049582611"/>
      <w:bookmarkStart w:id="62" w:name="_Toc2057605679"/>
      <w:bookmarkStart w:id="63" w:name="_Toc968326856"/>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一</w:t>
      </w:r>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党建与大学治理</w:t>
      </w:r>
      <w:bookmarkEnd w:id="61"/>
    </w:p>
    <w:p>
      <w:pPr>
        <w:pageBreakBefore w:val="0"/>
        <w:kinsoku/>
        <w:wordWrap/>
        <w:overflowPunct/>
        <w:topLinePunct w:val="0"/>
        <w:autoSpaceDE/>
        <w:autoSpaceDN/>
        <w:bidi w:val="0"/>
        <w:spacing w:line="52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 xml:space="preserve">1.建设思路 </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以习近平新时代中国特色社会主义思想为引领，以社会主义核心价值观为根本，以社会主义先进文化为导向，以“</w:t>
      </w:r>
      <w:r>
        <w:rPr>
          <w:rFonts w:hint="eastAsia" w:ascii="仿宋_GB2312" w:hAnsi="仿宋_GB2312" w:eastAsia="仿宋_GB2312" w:cs="仿宋_GB2312"/>
          <w:color w:val="auto"/>
          <w:sz w:val="32"/>
          <w:szCs w:val="32"/>
          <w:lang w:eastAsia="zh-Hans"/>
        </w:rPr>
        <w:t>学以广才，志以成学</w:t>
      </w:r>
      <w:r>
        <w:rPr>
          <w:rFonts w:hint="eastAsia" w:ascii="仿宋_GB2312" w:hAnsi="仿宋_GB2312" w:eastAsia="仿宋_GB2312" w:cs="仿宋_GB2312"/>
          <w:color w:val="auto"/>
          <w:sz w:val="32"/>
          <w:szCs w:val="32"/>
        </w:rPr>
        <w:t>”校训为核心</w:t>
      </w:r>
      <w:r>
        <w:rPr>
          <w:rFonts w:hint="eastAsia" w:ascii="仿宋_GB2312" w:hAnsi="仿宋_GB2312" w:eastAsia="仿宋_GB2312" w:cs="仿宋_GB2312"/>
          <w:color w:val="auto"/>
          <w:sz w:val="32"/>
          <w:szCs w:val="32"/>
          <w:lang w:eastAsia="zh-Hans"/>
        </w:rPr>
        <w:t>，建立常态化学习机制。</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坚持把党的领导优势与民办高校的体制机制紧密结合，实行理事会决策、校长负责、党委保障、教授治学、民主监督、社会参与的治理体制。坚持问题导向、目标导向、效果导向，按照“新时代教育评价改革总体方案”，大胆探索，结合实际，大力推进实践创新，着力破除体制机制障碍，努力构建具有武昌首义学院教育评价特色的新体系。</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坚持建章立制，突出制度建设这条主线，加强系统治理、依法治理、综合治理，走出一条符合武昌首义学院校情的民办高校治理的新路。</w:t>
      </w:r>
    </w:p>
    <w:p>
      <w:pPr>
        <w:pageBreakBefore w:val="0"/>
        <w:kinsoku/>
        <w:wordWrap/>
        <w:overflowPunct/>
        <w:topLinePunct w:val="0"/>
        <w:autoSpaceDE/>
        <w:autoSpaceDN/>
        <w:bidi w:val="0"/>
        <w:spacing w:line="52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w:t>
      </w:r>
      <w:r>
        <w:rPr>
          <w:rFonts w:hint="eastAsia" w:ascii="仿宋_GB2312" w:hAnsi="仿宋_GB2312" w:eastAsia="仿宋_GB2312" w:cs="仿宋_GB2312"/>
          <w:b/>
          <w:bCs/>
          <w:color w:val="auto"/>
          <w:sz w:val="32"/>
          <w:szCs w:val="32"/>
          <w:lang w:eastAsia="zh-Hans"/>
        </w:rPr>
        <w:t>建设内容</w:t>
      </w:r>
    </w:p>
    <w:p>
      <w:pPr>
        <w:pStyle w:val="6"/>
        <w:pageBreakBefore w:val="0"/>
        <w:kinsoku/>
        <w:wordWrap/>
        <w:overflowPunct/>
        <w:topLinePunct w:val="0"/>
        <w:autoSpaceDE/>
        <w:autoSpaceDN/>
        <w:bidi w:val="0"/>
        <w:spacing w:after="0" w:line="520" w:lineRule="exact"/>
        <w:ind w:firstLine="60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b/>
          <w:color w:val="auto"/>
          <w:sz w:val="32"/>
          <w:szCs w:val="32"/>
        </w:rPr>
        <w:t>强化党的创新理论武装</w:t>
      </w:r>
      <w:r>
        <w:rPr>
          <w:rFonts w:hint="eastAsia" w:ascii="仿宋_GB2312" w:hAnsi="仿宋_GB2312" w:eastAsia="仿宋_GB2312" w:cs="仿宋_GB2312"/>
          <w:color w:val="auto"/>
          <w:sz w:val="32"/>
          <w:szCs w:val="32"/>
        </w:rPr>
        <w:t>。加强马克思主义学院和思想政治理论课程建设，加强习近平新时代中国特色社会主义思想系统化、学理化研究，深入实施青年马克思主义者培养工程，全面推进习近平新时代中国特色社会主义思想进教材进课堂进头脑。不断完善政治理论学习制度，组织开展党史学习教育。弘扬理论联系实际学风，做到知行合一、以用促学，提高学以致用的能力。牢牢把握意识形态工作领导权、管理权、话语权，压实意识形态工作责任制。坚持正确舆论导向，推动媒体融合发展。</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b/>
          <w:color w:val="auto"/>
          <w:sz w:val="32"/>
          <w:szCs w:val="32"/>
        </w:rPr>
        <w:t>加强领导班子、党员干部队伍、基层党组织建设。</w:t>
      </w:r>
      <w:r>
        <w:rPr>
          <w:rFonts w:hint="eastAsia" w:ascii="仿宋_GB2312" w:hAnsi="仿宋_GB2312" w:eastAsia="仿宋_GB2312" w:cs="仿宋_GB2312"/>
          <w:color w:val="auto"/>
          <w:sz w:val="32"/>
          <w:szCs w:val="32"/>
        </w:rPr>
        <w:t>坚持从严管党治党，加强党的政治建设, 牢牢把握社会主义办学方向，引导领导班子成员增强“四个意识”，坚定“四个自信”，做到“两个维护”，严守党的政治纪律和政治规矩，严肃党内政治生活。</w:t>
      </w:r>
      <w:r>
        <w:rPr>
          <w:rFonts w:hint="eastAsia" w:ascii="仿宋_GB2312" w:hAnsi="仿宋_GB2312" w:eastAsia="仿宋_GB2312" w:cs="仿宋_GB2312"/>
          <w:bCs/>
          <w:color w:val="auto"/>
          <w:sz w:val="32"/>
          <w:szCs w:val="32"/>
        </w:rPr>
        <w:t>创新基层党组织设置，建强师生党支部，强化党员责任义务，持续实施“对标争先”计划，促进党建与业务深度融合。加大在大学生、优秀青年教师中发展党员力度。深入推进党风廉政建设和反腐败斗争，强化政治监督，加强廉政风险排查防</w:t>
      </w:r>
      <w:r>
        <w:rPr>
          <w:rFonts w:hint="eastAsia" w:ascii="仿宋_GB2312" w:hAnsi="仿宋_GB2312" w:eastAsia="仿宋_GB2312" w:cs="仿宋_GB2312"/>
          <w:color w:val="auto"/>
          <w:sz w:val="32"/>
          <w:szCs w:val="32"/>
        </w:rPr>
        <w:t>范，严肃执纪问责，培育风清气正的政治生态，一体推进不敢腐不能腐不想腐。</w:t>
      </w:r>
    </w:p>
    <w:p>
      <w:pPr>
        <w:pageBreakBefore w:val="0"/>
        <w:kinsoku/>
        <w:wordWrap/>
        <w:overflowPunct/>
        <w:topLinePunct w:val="0"/>
        <w:autoSpaceDE/>
        <w:autoSpaceDN/>
        <w:bidi w:val="0"/>
        <w:adjustRightInd w:val="0"/>
        <w:snapToGrid w:val="0"/>
        <w:spacing w:line="520" w:lineRule="exact"/>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（3）扎实推进思想政治工作。</w:t>
      </w:r>
      <w:r>
        <w:rPr>
          <w:rFonts w:hint="eastAsia" w:ascii="仿宋_GB2312" w:hAnsi="仿宋_GB2312" w:eastAsia="仿宋_GB2312" w:cs="仿宋_GB2312"/>
          <w:color w:val="auto"/>
          <w:sz w:val="32"/>
          <w:szCs w:val="32"/>
        </w:rPr>
        <w:t>落实立德树人根本任务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培养</w:t>
      </w:r>
      <w:r>
        <w:rPr>
          <w:rFonts w:hint="eastAsia" w:ascii="仿宋_GB2312" w:hAnsi="仿宋_GB2312" w:eastAsia="仿宋_GB2312" w:cs="仿宋_GB2312"/>
          <w:color w:val="auto"/>
          <w:sz w:val="32"/>
          <w:szCs w:val="32"/>
        </w:rPr>
        <w:t>“有理想、有追求</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有担当、有作为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有品质、有修养” 的大学生。聚焦“三全育人”，构建师生共同成长的思想政治工作体系。健全师德师风建设长效机制，引导教师严格遵守“十项准则”。持续深入开展习近平新时代中国特色社会</w:t>
      </w:r>
      <w:r>
        <w:rPr>
          <w:rFonts w:hint="eastAsia" w:ascii="仿宋_GB2312" w:hAnsi="仿宋_GB2312" w:eastAsia="仿宋_GB2312" w:cs="仿宋_GB2312"/>
          <w:color w:val="auto"/>
          <w:sz w:val="32"/>
          <w:szCs w:val="32"/>
          <w:lang w:val="en-US" w:eastAsia="zh-CN"/>
        </w:rPr>
        <w:t>主义</w:t>
      </w:r>
      <w:r>
        <w:rPr>
          <w:rFonts w:hint="eastAsia" w:ascii="仿宋_GB2312" w:hAnsi="仿宋_GB2312" w:eastAsia="仿宋_GB2312" w:cs="仿宋_GB2312"/>
          <w:color w:val="auto"/>
          <w:sz w:val="32"/>
          <w:szCs w:val="32"/>
        </w:rPr>
        <w:t>思想专题学习。培育和践行社会主义核心价值观，加强理想信念、爱国主义、“四史”和公民道德教育。建设具有较强传播力的校园新媒体，创新网络思想政治工作。强化志愿服务，深化实践育人。</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w:t>
      </w:r>
      <w:r>
        <w:rPr>
          <w:rFonts w:hint="eastAsia" w:ascii="仿宋_GB2312" w:hAnsi="仿宋_GB2312" w:eastAsia="仿宋_GB2312" w:cs="仿宋_GB2312"/>
          <w:b/>
          <w:color w:val="auto"/>
          <w:sz w:val="32"/>
          <w:szCs w:val="32"/>
        </w:rPr>
        <w:t>推进现代大学制度建设。</w:t>
      </w:r>
      <w:r>
        <w:rPr>
          <w:rFonts w:hint="eastAsia" w:ascii="仿宋_GB2312" w:hAnsi="仿宋_GB2312" w:eastAsia="仿宋_GB2312" w:cs="仿宋_GB2312"/>
          <w:color w:val="auto"/>
          <w:sz w:val="32"/>
          <w:szCs w:val="32"/>
        </w:rPr>
        <w:t>落实《</w:t>
      </w:r>
      <w:r>
        <w:rPr>
          <w:rFonts w:hint="eastAsia" w:ascii="仿宋_GB2312" w:hAnsi="仿宋_GB2312" w:eastAsia="仿宋_GB2312" w:cs="仿宋_GB2312"/>
          <w:color w:val="auto"/>
          <w:sz w:val="32"/>
          <w:szCs w:val="32"/>
          <w:lang w:val="en-US" w:eastAsia="zh-CN"/>
        </w:rPr>
        <w:t>武昌</w:t>
      </w:r>
      <w:r>
        <w:rPr>
          <w:rFonts w:hint="eastAsia" w:ascii="仿宋_GB2312" w:hAnsi="仿宋_GB2312" w:eastAsia="仿宋_GB2312" w:cs="仿宋_GB2312"/>
          <w:color w:val="auto"/>
          <w:sz w:val="32"/>
          <w:szCs w:val="32"/>
        </w:rPr>
        <w:t>首义学院章程》，完善以“理事会领导下的校长负责制”为基本内容的学校法人治理结构，落实党委会、校长办公会议事规则；不断完善校、院两级管理体制，推进管理重心下移；完善学校学术委员会章程，健全和维护以学术委员会为核心的学术管理体系和组织架构；健全校工会、教代会、学代会制度，保障师生员工参与学校管理和监督的权利。</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w:t>
      </w:r>
      <w:r>
        <w:rPr>
          <w:rFonts w:hint="eastAsia" w:ascii="仿宋_GB2312" w:hAnsi="仿宋_GB2312" w:eastAsia="仿宋_GB2312" w:cs="仿宋_GB2312"/>
          <w:b/>
          <w:color w:val="auto"/>
          <w:sz w:val="32"/>
          <w:szCs w:val="32"/>
        </w:rPr>
        <w:t>推进学校管理体制机制改革。</w:t>
      </w:r>
      <w:r>
        <w:rPr>
          <w:rFonts w:hint="eastAsia" w:ascii="仿宋_GB2312" w:hAnsi="仿宋_GB2312" w:eastAsia="仿宋_GB2312" w:cs="仿宋_GB2312"/>
          <w:color w:val="auto"/>
          <w:sz w:val="32"/>
          <w:szCs w:val="32"/>
        </w:rPr>
        <w:t>推进人事制度改革，在教师招聘、人才引进、岗位设置、职称评审、分配制度等方面探索并完善相关政策，建立更加灵活的机制；推进目标管理改革，进一步完善目标管理责任制，实现目标管理全覆盖；推行精细化管理改革，提升整体管理水平，激发学校办学活力。推进新时代教育评价改革，构建科学有效、符合时代要求、体现学校特色的教育评价体系，推动教育评价改革落实落地。</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w:t>
      </w:r>
      <w:r>
        <w:rPr>
          <w:rFonts w:hint="eastAsia" w:ascii="仿宋_GB2312" w:hAnsi="仿宋_GB2312" w:eastAsia="仿宋_GB2312" w:cs="仿宋_GB2312"/>
          <w:b/>
          <w:color w:val="auto"/>
          <w:sz w:val="32"/>
          <w:szCs w:val="32"/>
        </w:rPr>
        <w:t>推进高品位大学文化建设</w:t>
      </w:r>
      <w:r>
        <w:rPr>
          <w:rFonts w:hint="eastAsia" w:ascii="仿宋_GB2312" w:hAnsi="仿宋_GB2312" w:eastAsia="仿宋_GB2312" w:cs="仿宋_GB2312"/>
          <w:color w:val="auto"/>
          <w:sz w:val="32"/>
          <w:szCs w:val="32"/>
        </w:rPr>
        <w:t>。加强校园文化建设顶层设计，践行“学以广才，志以成学”的校训，弘扬“敢为人先，自强不息”的学校精神，遵循“立德树人、质量为本”的办学理念，构建首义文化价值共同体；抓好文化素质提升的平台建设，建设好、利用好校史馆、档案馆、各类文化艺术节、各类社团活动等文化载体和活动平台，营造自由、包容的学术和学习氛围，为文化传承创新创造优良的环境和条件；完善学校文化视觉识别系统，展示和体现学校的办学理念、校训校风、精神面貌，建设具有时代特征、首义特色的高品位大学文化。</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建设武昌校区首义园、军威园和华科园三个文化园区，弘扬首义精神，传承学校办学历史，培育具有首义特色的校园文化品牌，创建湖北省校园文化建设优秀成果。</w:t>
      </w:r>
      <w:r>
        <w:rPr>
          <w:rFonts w:hint="eastAsia" w:ascii="仿宋_GB2312" w:hAnsi="仿宋_GB2312" w:eastAsia="仿宋_GB2312" w:cs="仿宋_GB2312"/>
          <w:color w:val="auto"/>
          <w:sz w:val="30"/>
          <w:szCs w:val="30"/>
        </w:rPr>
        <w:t>完善文明创建工作机制，创新文明创建内涵，丰富文明创建活动载体，建设更高品质的文明校园，不断增强师生归属感、获得感和幸福感。</w:t>
      </w:r>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楷体_GB2312" w:hAnsi="楷体_GB2312" w:eastAsia="楷体_GB2312" w:cs="楷体_GB2312"/>
          <w:b w:val="0"/>
          <w:bCs w:val="0"/>
          <w:color w:val="auto"/>
        </w:rPr>
      </w:pPr>
      <w:bookmarkStart w:id="64" w:name="_Toc904266619"/>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二</w:t>
      </w:r>
      <w:r>
        <w:rPr>
          <w:rFonts w:hint="eastAsia" w:ascii="楷体_GB2312" w:hAnsi="楷体_GB2312" w:eastAsia="楷体_GB2312" w:cs="楷体_GB2312"/>
          <w:b w:val="0"/>
          <w:bCs w:val="0"/>
          <w:color w:val="auto"/>
        </w:rPr>
        <w:t>）</w:t>
      </w:r>
      <w:bookmarkEnd w:id="62"/>
      <w:bookmarkEnd w:id="63"/>
      <w:r>
        <w:rPr>
          <w:rFonts w:hint="eastAsia" w:ascii="楷体_GB2312" w:hAnsi="楷体_GB2312" w:eastAsia="楷体_GB2312" w:cs="楷体_GB2312"/>
          <w:b w:val="0"/>
          <w:bCs w:val="0"/>
          <w:color w:val="auto"/>
          <w:lang w:eastAsia="zh-Hans"/>
        </w:rPr>
        <w:t>人才培养</w:t>
      </w:r>
      <w:bookmarkEnd w:id="64"/>
    </w:p>
    <w:p>
      <w:pPr>
        <w:pageBreakBefore w:val="0"/>
        <w:kinsoku/>
        <w:wordWrap/>
        <w:overflowPunct/>
        <w:topLinePunct w:val="0"/>
        <w:autoSpaceDE/>
        <w:autoSpaceDN/>
        <w:bidi w:val="0"/>
        <w:spacing w:line="52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 xml:space="preserve">1.建设思路 </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落实“立德树人”根本任务，遵循OBE教学理念，推进“三全育人、五育并举”，聚焦学校高素质应用型人才培养目标，准确把握区域经济与社会发展趋势和人才需求，围绕区域发展的重点支柱产业、战略性新兴产业、现代服务业及社会文化事业发展目标，依托学校优势学科专业，以内涵建设为抓手，持续优化专业结构布局，完善应用型课程体系、产教融合实践平台、以学生为中心的育人机制、持续改进的评价机制等，培养德智体美劳全面发展的高素质应用型人才。</w:t>
      </w:r>
    </w:p>
    <w:p>
      <w:pPr>
        <w:pageBreakBefore w:val="0"/>
        <w:kinsoku/>
        <w:wordWrap/>
        <w:overflowPunct/>
        <w:topLinePunct w:val="0"/>
        <w:autoSpaceDE/>
        <w:autoSpaceDN/>
        <w:bidi w:val="0"/>
        <w:spacing w:line="52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w:t>
      </w:r>
      <w:r>
        <w:rPr>
          <w:rFonts w:hint="eastAsia" w:ascii="仿宋_GB2312" w:hAnsi="仿宋_GB2312" w:eastAsia="仿宋_GB2312" w:cs="仿宋_GB2312"/>
          <w:b/>
          <w:bCs/>
          <w:color w:val="auto"/>
          <w:sz w:val="32"/>
          <w:szCs w:val="32"/>
          <w:lang w:eastAsia="zh-Hans"/>
        </w:rPr>
        <w:t>建设内容</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完善OBE教育教学体系。进一步完善OBE人才培养体系改革制度设计，为系统推进OBE改革提供软、硬件平台和制度支撑。持续推进OBE模式教学改革，优化推进基于目标达成与持续改进的“OBE理念人才培养方案+相关课程大纲+课程目标达成度评价和基于评价结果的持续改进机制”的课程小循环工作。借助课程小循环经验，理清OBE理念下专业达成分析的基本思路，实施所有本科专业毕业要求达成度评价工作，明晰专业毕业要求达成度社会评价及毕业生自评实施要领，基于OBE理念审视教学及人才培养过程中的突出问题，结合社会需求和专业实际，打造“专业持续改进+人才培养”的大循环，构建OBE人才培养长效机制。</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Hans"/>
        </w:rPr>
        <w:t>优化</w:t>
      </w:r>
      <w:r>
        <w:rPr>
          <w:rFonts w:hint="eastAsia" w:ascii="仿宋_GB2312" w:hAnsi="仿宋_GB2312" w:eastAsia="仿宋_GB2312" w:cs="仿宋_GB2312"/>
          <w:color w:val="auto"/>
          <w:sz w:val="32"/>
          <w:szCs w:val="32"/>
        </w:rPr>
        <w:t>专业结构</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坚持“一流标准建设优势专业，国家（区域）战略导向培育新兴专业，信息技术提升传统专业，社会需求动态调整专业”</w:t>
      </w:r>
      <w:r>
        <w:rPr>
          <w:rFonts w:hint="eastAsia" w:ascii="仿宋_GB2312" w:hAnsi="仿宋_GB2312" w:eastAsia="仿宋_GB2312" w:cs="仿宋_GB2312"/>
          <w:color w:val="auto"/>
          <w:sz w:val="32"/>
          <w:szCs w:val="32"/>
          <w:lang w:eastAsia="zh-Hans"/>
        </w:rPr>
        <w:t>的专业建设思路</w:t>
      </w:r>
      <w:r>
        <w:rPr>
          <w:rFonts w:hint="eastAsia" w:ascii="仿宋_GB2312" w:hAnsi="仿宋_GB2312" w:eastAsia="仿宋_GB2312" w:cs="仿宋_GB2312"/>
          <w:color w:val="auto"/>
          <w:sz w:val="32"/>
          <w:szCs w:val="32"/>
        </w:rPr>
        <w:t>，围绕</w:t>
      </w:r>
      <w:r>
        <w:rPr>
          <w:rFonts w:hint="eastAsia" w:ascii="仿宋_GB2312" w:hAnsi="仿宋_GB2312" w:eastAsia="仿宋_GB2312" w:cs="仿宋_GB2312"/>
          <w:color w:val="auto"/>
          <w:sz w:val="32"/>
          <w:szCs w:val="32"/>
          <w:lang w:eastAsia="zh-Hans"/>
        </w:rPr>
        <w:t>湖北产业转型升级和结构调整需求</w:t>
      </w:r>
      <w:r>
        <w:rPr>
          <w:rFonts w:hint="eastAsia" w:ascii="仿宋_GB2312" w:hAnsi="仿宋_GB2312" w:eastAsia="仿宋_GB2312" w:cs="仿宋_GB2312"/>
          <w:color w:val="auto"/>
          <w:sz w:val="32"/>
          <w:szCs w:val="32"/>
        </w:rPr>
        <w:t>，根据学校资源条件，</w:t>
      </w:r>
      <w:r>
        <w:rPr>
          <w:rFonts w:hint="eastAsia" w:ascii="仿宋_GB2312" w:hAnsi="仿宋_GB2312" w:eastAsia="仿宋_GB2312" w:cs="仿宋_GB2312"/>
          <w:color w:val="auto"/>
          <w:sz w:val="32"/>
          <w:szCs w:val="32"/>
          <w:lang w:eastAsia="zh-Hans"/>
        </w:rPr>
        <w:t>不断优化专业结构，</w:t>
      </w:r>
      <w:r>
        <w:rPr>
          <w:rFonts w:hint="eastAsia" w:ascii="仿宋_GB2312" w:hAnsi="仿宋_GB2312" w:eastAsia="仿宋_GB2312" w:cs="仿宋_GB2312"/>
          <w:color w:val="auto"/>
          <w:sz w:val="32"/>
          <w:szCs w:val="32"/>
        </w:rPr>
        <w:t>至2025年，全校本科专业45个左右，形成以工为主，工、文、法、经、管、艺等学科专业协调发展，专业集群与地方和产业集群对接的专业格局。</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（3）一流专业建设工程。以机械电子工程国家一流专业建设点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广播电视学、土木工程</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Hans"/>
        </w:rPr>
        <w:t>个省级一流专业建设点为抓手，重点推进国家与省级一流专业建设点专业所需高层次人才引进与实验室建设，并结合相关专业认证标准，</w:t>
      </w:r>
      <w:r>
        <w:rPr>
          <w:rFonts w:hint="eastAsia" w:ascii="仿宋_GB2312" w:hAnsi="仿宋_GB2312" w:eastAsia="仿宋_GB2312" w:cs="仿宋_GB2312"/>
          <w:color w:val="auto"/>
          <w:sz w:val="32"/>
          <w:szCs w:val="32"/>
        </w:rPr>
        <w:t>适时</w:t>
      </w:r>
      <w:r>
        <w:rPr>
          <w:rFonts w:hint="eastAsia" w:ascii="仿宋_GB2312" w:hAnsi="仿宋_GB2312" w:eastAsia="仿宋_GB2312" w:cs="仿宋_GB2312"/>
          <w:color w:val="auto"/>
          <w:sz w:val="32"/>
          <w:szCs w:val="32"/>
          <w:lang w:eastAsia="zh-Hans"/>
        </w:rPr>
        <w:t>推进专业认证工作。</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进一步</w:t>
      </w:r>
      <w:r>
        <w:rPr>
          <w:rFonts w:hint="eastAsia" w:ascii="仿宋_GB2312" w:hAnsi="仿宋_GB2312" w:eastAsia="仿宋_GB2312" w:cs="仿宋_GB2312"/>
          <w:color w:val="auto"/>
          <w:sz w:val="32"/>
          <w:szCs w:val="32"/>
          <w:lang w:val="en-US" w:eastAsia="zh-CN"/>
        </w:rPr>
        <w:t>健全</w:t>
      </w:r>
      <w:r>
        <w:rPr>
          <w:rFonts w:hint="eastAsia" w:ascii="仿宋_GB2312" w:hAnsi="仿宋_GB2312" w:eastAsia="仿宋_GB2312" w:cs="仿宋_GB2312"/>
          <w:color w:val="auto"/>
          <w:sz w:val="32"/>
          <w:szCs w:val="32"/>
          <w:lang w:eastAsia="zh-Hans"/>
        </w:rPr>
        <w:t>国家、省级和校级一流专业建设体系。在现有国家、省级一流专业建设基础上，继续支持</w:t>
      </w:r>
      <w:r>
        <w:rPr>
          <w:rFonts w:hint="eastAsia" w:ascii="仿宋_GB2312" w:hAnsi="仿宋_GB2312" w:eastAsia="仿宋_GB2312" w:cs="仿宋_GB2312"/>
          <w:color w:val="auto"/>
          <w:sz w:val="32"/>
          <w:szCs w:val="32"/>
        </w:rPr>
        <w:t>广播电视学</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eastAsia="zh-Hans"/>
        </w:rPr>
        <w:t>土木工程等专业申报国家级一流专业建设点，</w:t>
      </w:r>
      <w:r>
        <w:rPr>
          <w:rFonts w:hint="eastAsia" w:ascii="仿宋_GB2312" w:hAnsi="仿宋_GB2312" w:eastAsia="仿宋_GB2312" w:cs="仿宋_GB2312"/>
          <w:color w:val="auto"/>
          <w:sz w:val="32"/>
          <w:szCs w:val="32"/>
          <w:lang w:val="en-US" w:eastAsia="zh-CN"/>
        </w:rPr>
        <w:t>市场营销、生物工程、视觉传达设计</w:t>
      </w:r>
      <w:r>
        <w:rPr>
          <w:rFonts w:hint="eastAsia" w:ascii="仿宋_GB2312" w:hAnsi="仿宋_GB2312" w:eastAsia="仿宋_GB2312" w:cs="仿宋_GB2312"/>
          <w:color w:val="auto"/>
          <w:sz w:val="32"/>
          <w:szCs w:val="32"/>
          <w:lang w:eastAsia="zh-Hans"/>
        </w:rPr>
        <w:t>等专业申报省级一流本科专业建设点。</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根据一流专业建设工程实施情况，重点培育和扶持2-3个专业，建设成为武昌首义学院</w:t>
      </w:r>
      <w:r>
        <w:rPr>
          <w:rFonts w:hint="eastAsia" w:ascii="仿宋_GB2312" w:hAnsi="仿宋_GB2312" w:eastAsia="仿宋_GB2312" w:cs="仿宋_GB2312"/>
          <w:color w:val="auto"/>
          <w:sz w:val="32"/>
          <w:szCs w:val="32"/>
          <w:lang w:val="en-US" w:eastAsia="zh-CN"/>
        </w:rPr>
        <w:t>优势</w:t>
      </w:r>
      <w:r>
        <w:rPr>
          <w:rFonts w:hint="eastAsia" w:ascii="仿宋_GB2312" w:hAnsi="仿宋_GB2312" w:eastAsia="仿宋_GB2312" w:cs="仿宋_GB2312"/>
          <w:color w:val="auto"/>
          <w:sz w:val="32"/>
          <w:szCs w:val="32"/>
          <w:lang w:eastAsia="zh-Hans"/>
        </w:rPr>
        <w:t>专业，全面带动学校专业的整体建设和发展。</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采用校企合作投资、学校独立投资等方式，加快建设大数据实验室、人工智能实验室、智慧施工实验室等一批基础实验室和特色专业实验室，支撑国家一流专业与省级一流专业建设。</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4）一流课程建设工程。进一步推进国家、省级和校级一流课程建设体系的建设，建设一批高质量的线上、线下以及混合一流课程。实施课程质量提升计划，完善由通识课程、基础课程、专业课程、实践教学四大模块构成的应用型人才培养课程体系，以一流课程为示范、优质课程为主干、合格课程为基础，加大国家级、省级一流课程培育与建设力度。</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加强基础课建设。改革教学方法，提升公共外语、数学、物理等公共基础课程的教学质量尤其是课堂教学质量。注重现代教育技术应用，推广慕课平台应用，实现线下课程、线上课程、线上线下混合课程有机结合。结合课程建设，完善教材编写和教材选用的论证机制，建设和选用一批适合于应用型高校使用的高质量教材。</w:t>
      </w:r>
    </w:p>
    <w:p>
      <w:pPr>
        <w:pageBreakBefore w:val="0"/>
        <w:kinsoku/>
        <w:wordWrap/>
        <w:overflowPunct/>
        <w:topLinePunct w:val="0"/>
        <w:autoSpaceDE/>
        <w:autoSpaceDN/>
        <w:bidi w:val="0"/>
        <w:spacing w:line="520" w:lineRule="exact"/>
        <w:ind w:firstLine="640" w:firstLineChars="200"/>
        <w:jc w:val="left"/>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rPr>
        <w:t>（5）校企合作</w:t>
      </w:r>
      <w:r>
        <w:rPr>
          <w:rFonts w:hint="eastAsia" w:ascii="仿宋_GB2312" w:hAnsi="仿宋_GB2312" w:eastAsia="仿宋_GB2312" w:cs="仿宋_GB2312"/>
          <w:color w:val="auto"/>
          <w:sz w:val="32"/>
          <w:szCs w:val="32"/>
          <w:lang w:eastAsia="zh-Hans"/>
        </w:rPr>
        <w:t>提升工程。落实学校</w:t>
      </w:r>
      <w:r>
        <w:rPr>
          <w:rFonts w:hint="eastAsia" w:ascii="仿宋_GB2312" w:hAnsi="仿宋_GB2312" w:eastAsia="仿宋_GB2312" w:cs="仿宋_GB2312"/>
          <w:color w:val="auto"/>
          <w:sz w:val="32"/>
          <w:szCs w:val="32"/>
        </w:rPr>
        <w:t>“产教融合”</w:t>
      </w:r>
      <w:r>
        <w:rPr>
          <w:rFonts w:hint="eastAsia" w:ascii="仿宋_GB2312" w:hAnsi="仿宋_GB2312" w:eastAsia="仿宋_GB2312" w:cs="仿宋_GB2312"/>
          <w:color w:val="auto"/>
          <w:sz w:val="32"/>
          <w:szCs w:val="32"/>
          <w:lang w:eastAsia="zh-Hans"/>
        </w:rPr>
        <w:t>战略</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深化校企合作，总结校企合作经验，完善校企合作模式，按“四个共建”要求，建设形成若干优质、特色专业（群）与优质课程资源，打造若干示范性教学团队，继续完善与扩大企业专家参加人才培养方案制订、企业工程师参与授课、校企共建实习实训基地、共建实验室等校企合作基础工作。</w:t>
      </w:r>
    </w:p>
    <w:p>
      <w:pPr>
        <w:pageBreakBefore w:val="0"/>
        <w:kinsoku/>
        <w:wordWrap/>
        <w:overflowPunct/>
        <w:topLinePunct w:val="0"/>
        <w:autoSpaceDE/>
        <w:autoSpaceDN/>
        <w:bidi w:val="0"/>
        <w:spacing w:line="520" w:lineRule="exact"/>
        <w:ind w:firstLine="640" w:firstLineChars="200"/>
        <w:jc w:val="left"/>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以共建产业学院为切入点，推进校企合作向纵深发展。“十四五”期间</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Hans"/>
        </w:rPr>
        <w:t>以</w:t>
      </w:r>
      <w:r>
        <w:rPr>
          <w:rFonts w:hint="eastAsia" w:ascii="仿宋_GB2312" w:hAnsi="仿宋_GB2312" w:eastAsia="仿宋_GB2312" w:cs="仿宋_GB2312"/>
          <w:color w:val="auto"/>
          <w:sz w:val="32"/>
          <w:szCs w:val="32"/>
        </w:rPr>
        <w:t>机器人工程等9个新工科专业（方向）为基础，</w:t>
      </w:r>
      <w:r>
        <w:rPr>
          <w:rFonts w:hint="eastAsia" w:ascii="仿宋_GB2312" w:hAnsi="仿宋_GB2312" w:eastAsia="仿宋_GB2312" w:cs="仿宋_GB2312"/>
          <w:color w:val="auto"/>
          <w:sz w:val="32"/>
          <w:szCs w:val="32"/>
          <w:lang w:eastAsia="zh-Hans"/>
        </w:rPr>
        <w:t>瞄准湖北省战略性新兴产业发展需要，成立华为云学院和智能制造</w:t>
      </w:r>
      <w:r>
        <w:rPr>
          <w:rFonts w:hint="eastAsia" w:ascii="仿宋_GB2312" w:hAnsi="仿宋_GB2312" w:eastAsia="仿宋_GB2312" w:cs="仿宋_GB2312"/>
          <w:color w:val="auto"/>
          <w:sz w:val="32"/>
          <w:szCs w:val="32"/>
        </w:rPr>
        <w:t>学院等</w:t>
      </w:r>
      <w:r>
        <w:rPr>
          <w:rFonts w:hint="eastAsia" w:ascii="仿宋_GB2312" w:hAnsi="仿宋_GB2312" w:eastAsia="仿宋_GB2312" w:cs="仿宋_GB2312"/>
          <w:color w:val="auto"/>
          <w:sz w:val="32"/>
          <w:szCs w:val="32"/>
          <w:lang w:eastAsia="zh-Hans"/>
        </w:rPr>
        <w:t>产业学院；探索建立制度完备、运行良好、成员多样的专业指导委员会，推动实现专业与产业对接，专业课内容与职业标准对接，实践教学过程与生产过程对接，建设学校应用型课程体系。</w:t>
      </w:r>
    </w:p>
    <w:p>
      <w:pPr>
        <w:pageBreakBefore w:val="0"/>
        <w:kinsoku/>
        <w:wordWrap/>
        <w:overflowPunct/>
        <w:topLinePunct w:val="0"/>
        <w:autoSpaceDE/>
        <w:autoSpaceDN/>
        <w:bidi w:val="0"/>
        <w:spacing w:line="520" w:lineRule="exact"/>
        <w:ind w:firstLine="640" w:firstLineChars="200"/>
        <w:jc w:val="left"/>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rPr>
        <w:t>（6）完善学校教学质量保障体系。坚持质量引领战略，加强目标决策、质量标准、教学运行、组织保障、资源保障、质量监控、质量评价和反馈改进八大模块系统性建设；挖掘、扩展教学基本状态数据库功能，依托教学信息管理平台，有效整合教育教学信息，加强质量持续改进机制建设、优化改进效果；将质量保障的根基植于教育教学</w:t>
      </w:r>
      <w:r>
        <w:rPr>
          <w:rFonts w:hint="eastAsia" w:ascii="仿宋_GB2312" w:hAnsi="仿宋_GB2312" w:eastAsia="仿宋_GB2312" w:cs="仿宋_GB2312"/>
          <w:color w:val="auto"/>
          <w:sz w:val="32"/>
          <w:szCs w:val="32"/>
          <w:lang w:val="en-US" w:eastAsia="zh-CN"/>
        </w:rPr>
        <w:t>全</w:t>
      </w:r>
      <w:r>
        <w:rPr>
          <w:rFonts w:hint="eastAsia" w:ascii="仿宋_GB2312" w:hAnsi="仿宋_GB2312" w:eastAsia="仿宋_GB2312" w:cs="仿宋_GB2312"/>
          <w:color w:val="auto"/>
          <w:sz w:val="32"/>
          <w:szCs w:val="32"/>
        </w:rPr>
        <w:t>过程，培育自觉、自省、自律、自查、自纠的首义质量文化。</w:t>
      </w:r>
    </w:p>
    <w:p>
      <w:pPr>
        <w:pageBreakBefore w:val="0"/>
        <w:kinsoku/>
        <w:wordWrap/>
        <w:overflowPunct/>
        <w:topLinePunct w:val="0"/>
        <w:autoSpaceDE/>
        <w:autoSpaceDN/>
        <w:bidi w:val="0"/>
        <w:spacing w:line="520" w:lineRule="exact"/>
        <w:ind w:firstLine="640" w:firstLineChars="200"/>
        <w:jc w:val="left"/>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（7）</w:t>
      </w:r>
      <w:r>
        <w:rPr>
          <w:rFonts w:hint="eastAsia" w:ascii="仿宋_GB2312" w:hAnsi="仿宋_GB2312" w:eastAsia="仿宋_GB2312" w:cs="仿宋_GB2312"/>
          <w:color w:val="auto"/>
          <w:sz w:val="32"/>
          <w:szCs w:val="32"/>
        </w:rPr>
        <w:t>推进创新创业教育。完善“两个融合”双创教育体系，</w:t>
      </w:r>
      <w:r>
        <w:rPr>
          <w:rFonts w:hint="eastAsia" w:ascii="仿宋_GB2312" w:hAnsi="仿宋_GB2312" w:eastAsia="仿宋_GB2312" w:cs="仿宋_GB2312"/>
          <w:color w:val="auto"/>
          <w:sz w:val="32"/>
          <w:szCs w:val="32"/>
          <w:lang w:eastAsia="zh-Hans"/>
        </w:rPr>
        <w:t>开发创新创业教育课程，改革教学方法，加强实践环节，鼓励参与创新创业竞赛，为大学生参加创新创业实践拓展渠道，搭建平台，优化服务，到2025年基本形成融课程教学、实践训练、企业孵化为一体的创新创业教育体系。</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8）加强教学资源建设。进一步加强课程资源、教材资源、教学案例资源、实验室、实习实训基地等建设，完善教学资源体系。重点加强应用型教材建设、网络教学资源平台建设、各类开放课程网络化建设，推动信息技术与教学深度融合，提升在线课程占总课程比例。</w:t>
      </w:r>
    </w:p>
    <w:p>
      <w:pPr>
        <w:pageBreakBefore w:val="0"/>
        <w:kinsoku/>
        <w:wordWrap/>
        <w:overflowPunct/>
        <w:topLinePunct w:val="0"/>
        <w:autoSpaceDE/>
        <w:autoSpaceDN/>
        <w:bidi w:val="0"/>
        <w:adjustRightInd w:val="0"/>
        <w:snapToGrid w:val="0"/>
        <w:spacing w:line="52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Hans"/>
        </w:rPr>
        <w:t>（9）</w:t>
      </w:r>
      <w:r>
        <w:rPr>
          <w:rFonts w:hint="eastAsia" w:ascii="仿宋_GB2312" w:hAnsi="仿宋_GB2312" w:eastAsia="仿宋_GB2312" w:cs="仿宋_GB2312"/>
          <w:color w:val="auto"/>
          <w:sz w:val="32"/>
          <w:szCs w:val="32"/>
        </w:rPr>
        <w:t>推进思政课程与课程思政建设。坚持立德树人，深入推进“三全育人”“五育并举”</w:t>
      </w:r>
      <w:r>
        <w:rPr>
          <w:rFonts w:hint="eastAsia" w:ascii="仿宋_GB2312" w:hAnsi="仿宋_GB2312" w:eastAsia="仿宋_GB2312" w:cs="仿宋_GB2312"/>
          <w:b/>
          <w:color w:val="auto"/>
          <w:sz w:val="28"/>
          <w:szCs w:val="28"/>
        </w:rPr>
        <w:t>，</w:t>
      </w:r>
      <w:r>
        <w:rPr>
          <w:rFonts w:hint="eastAsia" w:ascii="仿宋_GB2312" w:hAnsi="仿宋_GB2312" w:eastAsia="仿宋_GB2312" w:cs="仿宋_GB2312"/>
          <w:color w:val="auto"/>
          <w:sz w:val="32"/>
          <w:szCs w:val="32"/>
        </w:rPr>
        <w:t>完善学生思想政治教育工作体系。</w:t>
      </w:r>
      <w:r>
        <w:rPr>
          <w:rFonts w:hint="eastAsia" w:ascii="仿宋_GB2312" w:hAnsi="仿宋_GB2312" w:eastAsia="仿宋_GB2312" w:cs="仿宋_GB2312"/>
          <w:color w:val="auto"/>
          <w:sz w:val="32"/>
          <w:szCs w:val="32"/>
          <w:lang w:val="en-US" w:eastAsia="zh-CN"/>
        </w:rPr>
        <w:t>把马克思主义学院作为重点学院、把思想政治理论课作为重点课程加强建设，给予优先保障，</w:t>
      </w:r>
      <w:r>
        <w:rPr>
          <w:rFonts w:hint="eastAsia" w:ascii="仿宋_GB2312" w:hAnsi="仿宋_GB2312" w:eastAsia="仿宋_GB2312" w:cs="仿宋_GB2312"/>
          <w:color w:val="auto"/>
          <w:sz w:val="32"/>
          <w:szCs w:val="32"/>
        </w:rPr>
        <w:t>大力推进习近平新时代中国特色社会主义思想进教材、进课堂、进头脑。</w:t>
      </w:r>
    </w:p>
    <w:p>
      <w:pPr>
        <w:pageBreakBefore w:val="0"/>
        <w:kinsoku/>
        <w:wordWrap/>
        <w:overflowPunct/>
        <w:topLinePunct w:val="0"/>
        <w:autoSpaceDE/>
        <w:autoSpaceDN/>
        <w:bidi w:val="0"/>
        <w:adjustRightInd w:val="0"/>
        <w:snapToGrid w:val="0"/>
        <w:spacing w:line="52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10）优化基于成人成才相统一的养成教育体系。深入推进大学生文明修身工程、学风建设工程、创新创业工程、志愿服务工程、以文化人工程，做好学业生涯规划教育，强化学业帮扶指导服务，完善学业预警制度，强化家校协同育人，激发学生学习内驱力，引导学生爱学、好学、真学。加强大学生社会主义核心价值观教育，进一步加强学生理想信念教育和身心健康教育，增强社会责任感、创新精神、实践能力，促进学生德智体美劳全面发展。</w:t>
      </w:r>
    </w:p>
    <w:p>
      <w:pPr>
        <w:pageBreakBefore w:val="0"/>
        <w:kinsoku/>
        <w:wordWrap/>
        <w:overflowPunct/>
        <w:topLinePunct w:val="0"/>
        <w:autoSpaceDE/>
        <w:autoSpaceDN/>
        <w:bidi w:val="0"/>
        <w:spacing w:line="52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rPr>
        <w:t>11</w:t>
      </w:r>
      <w:r>
        <w:rPr>
          <w:rFonts w:hint="eastAsia" w:ascii="仿宋_GB2312" w:hAnsi="仿宋_GB2312" w:eastAsia="仿宋_GB2312" w:cs="仿宋_GB2312"/>
          <w:color w:val="auto"/>
          <w:sz w:val="32"/>
          <w:szCs w:val="32"/>
          <w:highlight w:val="none"/>
          <w:lang w:eastAsia="zh-Hans"/>
        </w:rPr>
        <w:t>）</w:t>
      </w:r>
      <w:r>
        <w:rPr>
          <w:rFonts w:hint="eastAsia" w:ascii="仿宋_GB2312" w:hAnsi="仿宋_GB2312" w:eastAsia="仿宋_GB2312" w:cs="仿宋_GB2312"/>
          <w:color w:val="auto"/>
          <w:sz w:val="32"/>
          <w:szCs w:val="32"/>
          <w:highlight w:val="none"/>
        </w:rPr>
        <w:t>推进国际交流与合作。健全国际交流合作机制，提升外事工作管理</w:t>
      </w:r>
      <w:r>
        <w:rPr>
          <w:rFonts w:hint="eastAsia" w:ascii="仿宋_GB2312" w:hAnsi="仿宋_GB2312" w:eastAsia="仿宋_GB2312" w:cs="仿宋_GB2312"/>
          <w:color w:val="auto"/>
          <w:sz w:val="32"/>
          <w:szCs w:val="32"/>
          <w:highlight w:val="none"/>
          <w:lang w:val="en-US" w:eastAsia="zh-CN"/>
        </w:rPr>
        <w:t>水平和</w:t>
      </w:r>
      <w:r>
        <w:rPr>
          <w:rFonts w:hint="eastAsia" w:ascii="仿宋_GB2312" w:hAnsi="仿宋_GB2312" w:eastAsia="仿宋_GB2312" w:cs="仿宋_GB2312"/>
          <w:color w:val="auto"/>
          <w:sz w:val="32"/>
          <w:szCs w:val="32"/>
          <w:highlight w:val="none"/>
        </w:rPr>
        <w:t>服务能力。引进优质教育资源开展合作办学，拓展师生国际交流合作渠道</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推动教师互派、学分互认等多种形式</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合作交流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开展</w:t>
      </w:r>
      <w:r>
        <w:rPr>
          <w:rFonts w:hint="eastAsia" w:ascii="仿宋_GB2312" w:hAnsi="仿宋_GB2312" w:eastAsia="仿宋_GB2312" w:cs="仿宋_GB2312"/>
          <w:color w:val="auto"/>
          <w:sz w:val="32"/>
          <w:szCs w:val="32"/>
          <w:highlight w:val="none"/>
        </w:rPr>
        <w:t>联合办学、联办课程、文化交流等中外</w:t>
      </w:r>
      <w:r>
        <w:rPr>
          <w:rFonts w:hint="eastAsia" w:ascii="仿宋_GB2312" w:hAnsi="仿宋_GB2312" w:eastAsia="仿宋_GB2312" w:cs="仿宋_GB2312"/>
          <w:color w:val="auto"/>
          <w:sz w:val="32"/>
          <w:szCs w:val="32"/>
          <w:highlight w:val="none"/>
          <w:lang w:val="en-US" w:eastAsia="zh-CN"/>
        </w:rPr>
        <w:t>校际交流</w:t>
      </w:r>
      <w:r>
        <w:rPr>
          <w:rFonts w:hint="eastAsia" w:ascii="仿宋_GB2312" w:hAnsi="仿宋_GB2312" w:eastAsia="仿宋_GB2312" w:cs="仿宋_GB2312"/>
          <w:color w:val="auto"/>
          <w:sz w:val="32"/>
          <w:szCs w:val="32"/>
          <w:highlight w:val="none"/>
        </w:rPr>
        <w:t>项目2-5个。</w:t>
      </w:r>
    </w:p>
    <w:p>
      <w:pPr>
        <w:pageBreakBefore w:val="0"/>
        <w:kinsoku/>
        <w:wordWrap/>
        <w:overflowPunct/>
        <w:topLinePunct w:val="0"/>
        <w:autoSpaceDE/>
        <w:autoSpaceDN/>
        <w:bidi w:val="0"/>
        <w:spacing w:line="52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（12）充分调动和利用各种资源，助推毕业生就业。就业工作重心由关注“就业数量”向“就业质量”转变，提高毕业生就业率和就业质量，</w:t>
      </w:r>
      <w:r>
        <w:rPr>
          <w:rFonts w:hint="eastAsia" w:ascii="仿宋_GB2312" w:hAnsi="仿宋_GB2312" w:eastAsia="仿宋_GB2312" w:cs="仿宋_GB2312"/>
          <w:color w:val="auto"/>
          <w:sz w:val="32"/>
          <w:szCs w:val="32"/>
          <w:lang w:eastAsia="zh-Hans"/>
        </w:rPr>
        <w:t>实现</w:t>
      </w:r>
      <w:r>
        <w:rPr>
          <w:rFonts w:hint="eastAsia" w:ascii="仿宋_GB2312" w:hAnsi="仿宋_GB2312" w:eastAsia="仿宋_GB2312" w:cs="仿宋_GB2312"/>
          <w:color w:val="auto"/>
          <w:sz w:val="32"/>
          <w:szCs w:val="32"/>
        </w:rPr>
        <w:t>毕业生初次就业率高于省内同类院校平均水平，就业质量明显提升。</w:t>
      </w:r>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楷体_GB2312" w:hAnsi="楷体_GB2312" w:eastAsia="楷体_GB2312" w:cs="楷体_GB2312"/>
          <w:b w:val="0"/>
          <w:bCs w:val="0"/>
          <w:color w:val="auto"/>
        </w:rPr>
      </w:pPr>
      <w:bookmarkStart w:id="65" w:name="_Toc38619366"/>
      <w:bookmarkStart w:id="66" w:name="_Toc1903696418"/>
      <w:bookmarkStart w:id="67" w:name="_Toc267295714"/>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三</w:t>
      </w:r>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人才</w:t>
      </w:r>
      <w:r>
        <w:rPr>
          <w:rFonts w:hint="eastAsia" w:ascii="楷体_GB2312" w:hAnsi="楷体_GB2312" w:eastAsia="楷体_GB2312" w:cs="楷体_GB2312"/>
          <w:b w:val="0"/>
          <w:bCs w:val="0"/>
          <w:color w:val="auto"/>
        </w:rPr>
        <w:t>队伍</w:t>
      </w:r>
      <w:bookmarkEnd w:id="65"/>
      <w:r>
        <w:rPr>
          <w:rFonts w:hint="eastAsia" w:ascii="楷体_GB2312" w:hAnsi="楷体_GB2312" w:eastAsia="楷体_GB2312" w:cs="楷体_GB2312"/>
          <w:b w:val="0"/>
          <w:bCs w:val="0"/>
          <w:color w:val="auto"/>
        </w:rPr>
        <w:t>建设</w:t>
      </w:r>
      <w:bookmarkEnd w:id="66"/>
      <w:bookmarkEnd w:id="67"/>
    </w:p>
    <w:p>
      <w:pPr>
        <w:pageBreakBefore w:val="0"/>
        <w:kinsoku/>
        <w:wordWrap/>
        <w:overflowPunct/>
        <w:topLinePunct w:val="0"/>
        <w:autoSpaceDE/>
        <w:autoSpaceDN/>
        <w:bidi w:val="0"/>
        <w:spacing w:line="52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 xml:space="preserve">1.建设思路 </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“十四五”期间，围绕</w:t>
      </w:r>
      <w:r>
        <w:rPr>
          <w:rFonts w:hint="eastAsia" w:ascii="仿宋_GB2312" w:hAnsi="仿宋_GB2312" w:eastAsia="仿宋_GB2312" w:cs="仿宋_GB2312"/>
          <w:color w:val="auto"/>
          <w:sz w:val="32"/>
          <w:szCs w:val="32"/>
          <w:lang w:eastAsia="zh-Hans"/>
        </w:rPr>
        <w:t>应用型人才培养</w:t>
      </w:r>
      <w:r>
        <w:rPr>
          <w:rFonts w:hint="eastAsia" w:ascii="仿宋_GB2312" w:hAnsi="仿宋_GB2312" w:eastAsia="仿宋_GB2312" w:cs="仿宋_GB2312"/>
          <w:color w:val="auto"/>
          <w:sz w:val="32"/>
          <w:szCs w:val="32"/>
        </w:rPr>
        <w:t>目标，以深化产教融合、校企合作为突破口，持续推进人才强校战略，激发教职工教书育人、干事创业的积极性和主动性。按照“科学设岗、优化结构、引培并举、发展优先”的思路，以建设高层次人才和高水平团队为重点，持续优化师资队伍结构，不断提升教师实践能力，加强管理队伍建设，通过实施“以才引才、以才聚才，提升人才队伍层次”等措施，建设</w:t>
      </w:r>
      <w:r>
        <w:rPr>
          <w:rFonts w:hint="eastAsia" w:ascii="仿宋_GB2312" w:hAnsi="仿宋_GB2312" w:eastAsia="仿宋_GB2312" w:cs="仿宋_GB2312"/>
          <w:color w:val="auto"/>
          <w:sz w:val="32"/>
          <w:szCs w:val="32"/>
          <w:lang w:eastAsia="zh-Hans"/>
        </w:rPr>
        <w:t>一支</w:t>
      </w:r>
      <w:r>
        <w:rPr>
          <w:rFonts w:hint="eastAsia" w:ascii="仿宋_GB2312" w:hAnsi="仿宋_GB2312" w:eastAsia="仿宋_GB2312" w:cs="仿宋_GB2312"/>
          <w:color w:val="auto"/>
          <w:sz w:val="32"/>
          <w:szCs w:val="32"/>
        </w:rPr>
        <w:t>多元化的教师队伍和专业化的管理队伍。</w:t>
      </w:r>
    </w:p>
    <w:p>
      <w:pPr>
        <w:pageBreakBefore w:val="0"/>
        <w:kinsoku/>
        <w:wordWrap/>
        <w:overflowPunct/>
        <w:topLinePunct w:val="0"/>
        <w:autoSpaceDE/>
        <w:autoSpaceDN/>
        <w:bidi w:val="0"/>
        <w:spacing w:line="52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w:t>
      </w:r>
      <w:r>
        <w:rPr>
          <w:rFonts w:hint="eastAsia" w:ascii="仿宋_GB2312" w:hAnsi="仿宋_GB2312" w:eastAsia="仿宋_GB2312" w:cs="仿宋_GB2312"/>
          <w:b/>
          <w:bCs/>
          <w:color w:val="auto"/>
          <w:sz w:val="32"/>
          <w:szCs w:val="32"/>
          <w:lang w:eastAsia="zh-Hans"/>
        </w:rPr>
        <w:t>建设内容</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（1）加强师德师风建设。</w:t>
      </w:r>
      <w:r>
        <w:rPr>
          <w:rFonts w:hint="eastAsia" w:ascii="仿宋_GB2312" w:hAnsi="仿宋_GB2312" w:eastAsia="仿宋_GB2312" w:cs="仿宋_GB2312"/>
          <w:color w:val="auto"/>
          <w:sz w:val="32"/>
          <w:szCs w:val="32"/>
          <w:lang w:eastAsia="zh-Hans"/>
        </w:rPr>
        <w:t>强化</w:t>
      </w:r>
      <w:r>
        <w:rPr>
          <w:rFonts w:hint="eastAsia" w:ascii="仿宋_GB2312" w:hAnsi="仿宋_GB2312" w:eastAsia="仿宋_GB2312" w:cs="仿宋_GB2312"/>
          <w:color w:val="auto"/>
          <w:sz w:val="32"/>
          <w:szCs w:val="32"/>
        </w:rPr>
        <w:t>教师职业理想、职业道德和学术道德教育，弘扬优良教风，增强教师爱岗敬业、教书育人的责任感和使命感，做“有理想信念、有道德情操、有扎实知识、有仁爱之心”的好老师；开展教学名师、优秀教师、师德模范的评选和表彰</w:t>
      </w:r>
      <w:r>
        <w:rPr>
          <w:rFonts w:hint="eastAsia" w:ascii="仿宋_GB2312" w:hAnsi="仿宋_GB2312" w:eastAsia="仿宋_GB2312" w:cs="仿宋_GB2312"/>
          <w:color w:val="auto"/>
          <w:sz w:val="32"/>
          <w:szCs w:val="32"/>
          <w:lang w:eastAsia="zh-Hans"/>
        </w:rPr>
        <w:t>活动</w:t>
      </w:r>
      <w:r>
        <w:rPr>
          <w:rFonts w:hint="eastAsia" w:ascii="仿宋_GB2312" w:hAnsi="仿宋_GB2312" w:eastAsia="仿宋_GB2312" w:cs="仿宋_GB2312"/>
          <w:color w:val="auto"/>
          <w:sz w:val="32"/>
          <w:szCs w:val="32"/>
        </w:rPr>
        <w:t>，发挥教师人格魅力</w:t>
      </w:r>
      <w:r>
        <w:rPr>
          <w:rFonts w:hint="eastAsia" w:ascii="仿宋_GB2312" w:hAnsi="仿宋_GB2312" w:eastAsia="仿宋_GB2312" w:cs="仿宋_GB2312"/>
          <w:color w:val="auto"/>
          <w:sz w:val="32"/>
          <w:szCs w:val="32"/>
          <w:lang w:val="en-US" w:eastAsia="zh-CN"/>
        </w:rPr>
        <w:t>和</w:t>
      </w:r>
      <w:r>
        <w:rPr>
          <w:rFonts w:hint="eastAsia" w:ascii="仿宋_GB2312" w:hAnsi="仿宋_GB2312" w:eastAsia="仿宋_GB2312" w:cs="仿宋_GB2312"/>
          <w:color w:val="auto"/>
          <w:sz w:val="32"/>
          <w:szCs w:val="32"/>
        </w:rPr>
        <w:t>学识魅力的示范引领作用。</w:t>
      </w:r>
    </w:p>
    <w:p>
      <w:pPr>
        <w:pageBreakBefore w:val="0"/>
        <w:kinsoku/>
        <w:wordWrap/>
        <w:overflowPunct/>
        <w:topLinePunct w:val="0"/>
        <w:autoSpaceDE/>
        <w:autoSpaceDN/>
        <w:bidi w:val="0"/>
        <w:adjustRightInd w:val="0"/>
        <w:snapToGrid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lang w:eastAsia="zh-Hans"/>
        </w:rPr>
        <w:t>优化师资队伍结构，</w:t>
      </w:r>
      <w:r>
        <w:rPr>
          <w:rFonts w:hint="eastAsia" w:ascii="仿宋_GB2312" w:hAnsi="仿宋_GB2312" w:eastAsia="仿宋_GB2312" w:cs="仿宋_GB2312"/>
          <w:color w:val="auto"/>
          <w:sz w:val="32"/>
          <w:szCs w:val="32"/>
        </w:rPr>
        <w:t>实施高素质师资队伍建设工程。建立教师持续引进、培养培训、转型交流、考核淘汰的调整机制，积极创造“引得进、留得住、用得好”的人才环境。实施“双高”人才队伍建设计划与“弹性引智”计划，实行“一人一议”“专人专策”，开通人才引进“绿色通道”，继续加大紧缺专业人才引进力度，通过海内外引智、教学名师培养、知名学者打造、高层次人才引进等工作，优化专任教师队伍学历、年龄、职称结构，引进、培育一批领军人才。</w:t>
      </w:r>
    </w:p>
    <w:p>
      <w:pPr>
        <w:pageBreakBefore w:val="0"/>
        <w:kinsoku/>
        <w:wordWrap/>
        <w:overflowPunct/>
        <w:topLinePunct w:val="0"/>
        <w:autoSpaceDE/>
        <w:autoSpaceDN/>
        <w:bidi w:val="0"/>
        <w:adjustRightInd w:val="0"/>
        <w:snapToGrid w:val="0"/>
        <w:spacing w:line="52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实施“双师型教师建设计划”，提升教师实践能力。完善双师型教师认定标准，进一步支持和鼓励教师到企业和相关单位学习交流、培训、参与研发等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提高实践能力和职业素养。在教师绩效考核、职称评聘等方面向“双师型”教师倾斜。继续引进企业工程师、企业家等担任专兼职教师，以课程教学、实践教学、毕业论文（设计）、指导创新创业项目等形式承担相关理论教学和实践教学任务，打造专、兼职结合的双师型教师队伍。</w:t>
      </w:r>
    </w:p>
    <w:p>
      <w:pPr>
        <w:pageBreakBefore w:val="0"/>
        <w:kinsoku/>
        <w:wordWrap/>
        <w:overflowPunct/>
        <w:topLinePunct w:val="0"/>
        <w:autoSpaceDE/>
        <w:autoSpaceDN/>
        <w:bidi w:val="0"/>
        <w:adjustRightInd w:val="0"/>
        <w:snapToGrid w:val="0"/>
        <w:spacing w:line="52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Hans"/>
        </w:rPr>
        <w:t>（3）</w:t>
      </w:r>
      <w:r>
        <w:rPr>
          <w:rFonts w:hint="eastAsia" w:ascii="仿宋_GB2312" w:hAnsi="仿宋_GB2312" w:eastAsia="仿宋_GB2312" w:cs="仿宋_GB2312"/>
          <w:color w:val="auto"/>
          <w:sz w:val="32"/>
          <w:szCs w:val="32"/>
        </w:rPr>
        <w:t>完善教师培养培训体系，提升教师教育教学能力。充分发挥学校教师发展中心功能，构建 “全程性、分阶段、可持续”教师培养培训体系，多渠道促进教师教学能力发展。指导做好青年教师职业生涯规划，完善青年教师导师制，及时明确新进教师学科专业方向和教学科研团队归属，有效提供教师转型发展的专业咨询与指导，满足教师专业化、个性化发展的需要。激励教师通过进修、培训、学术访问等渠道，提高自身业务水平和教学科研能力，促进教师整体教学水平和教学能力发展。</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（4）加强</w:t>
      </w:r>
      <w:r>
        <w:rPr>
          <w:rFonts w:hint="eastAsia" w:ascii="仿宋_GB2312" w:hAnsi="仿宋_GB2312" w:eastAsia="仿宋_GB2312" w:cs="仿宋_GB2312"/>
          <w:color w:val="auto"/>
          <w:sz w:val="32"/>
          <w:szCs w:val="32"/>
          <w:lang w:eastAsia="zh-Hans"/>
        </w:rPr>
        <w:t>学校</w:t>
      </w:r>
      <w:r>
        <w:rPr>
          <w:rFonts w:hint="eastAsia" w:ascii="仿宋_GB2312" w:hAnsi="仿宋_GB2312" w:eastAsia="仿宋_GB2312" w:cs="仿宋_GB2312"/>
          <w:color w:val="auto"/>
          <w:sz w:val="32"/>
          <w:szCs w:val="32"/>
        </w:rPr>
        <w:t>管理队伍建设。坚持德才兼备、以德为先的用人标准，不断改进干部选拔、管理、监督、考核、培训、激励</w:t>
      </w:r>
      <w:r>
        <w:rPr>
          <w:rFonts w:hint="eastAsia" w:ascii="仿宋_GB2312" w:hAnsi="仿宋_GB2312" w:eastAsia="仿宋_GB2312" w:cs="仿宋_GB2312"/>
          <w:color w:val="auto"/>
          <w:sz w:val="32"/>
          <w:szCs w:val="32"/>
          <w:lang w:eastAsia="zh-Hans"/>
        </w:rPr>
        <w:t>政策</w:t>
      </w:r>
      <w:r>
        <w:rPr>
          <w:rFonts w:hint="eastAsia" w:ascii="仿宋_GB2312" w:hAnsi="仿宋_GB2312" w:eastAsia="仿宋_GB2312" w:cs="仿宋_GB2312"/>
          <w:color w:val="auto"/>
          <w:sz w:val="32"/>
          <w:szCs w:val="32"/>
        </w:rPr>
        <w:t>，加强管理队伍创新能力的培养，提高服务水平，造就一支与专任教师队伍发展相匹配，政治坚定、作风严谨、德才兼备、奋发有为的高素质</w:t>
      </w:r>
      <w:r>
        <w:rPr>
          <w:rFonts w:hint="eastAsia" w:ascii="仿宋_GB2312" w:hAnsi="仿宋_GB2312" w:eastAsia="仿宋_GB2312" w:cs="仿宋_GB2312"/>
          <w:color w:val="auto"/>
          <w:sz w:val="32"/>
          <w:szCs w:val="32"/>
          <w:lang w:eastAsia="zh-Hans"/>
        </w:rPr>
        <w:t>专业化</w:t>
      </w:r>
      <w:r>
        <w:rPr>
          <w:rFonts w:hint="eastAsia" w:ascii="仿宋_GB2312" w:hAnsi="仿宋_GB2312" w:eastAsia="仿宋_GB2312" w:cs="仿宋_GB2312"/>
          <w:color w:val="auto"/>
          <w:sz w:val="32"/>
          <w:szCs w:val="32"/>
        </w:rPr>
        <w:t>管理队伍。</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rPr>
        <w:t>（5）推进</w:t>
      </w:r>
      <w:r>
        <w:rPr>
          <w:rFonts w:hint="eastAsia" w:ascii="仿宋_GB2312" w:hAnsi="仿宋_GB2312" w:eastAsia="仿宋_GB2312" w:cs="仿宋_GB2312"/>
          <w:color w:val="auto"/>
          <w:sz w:val="32"/>
          <w:szCs w:val="32"/>
          <w:lang w:eastAsia="zh-Hans"/>
        </w:rPr>
        <w:t>学校</w:t>
      </w:r>
      <w:r>
        <w:rPr>
          <w:rFonts w:hint="eastAsia" w:ascii="仿宋_GB2312" w:hAnsi="仿宋_GB2312" w:eastAsia="仿宋_GB2312" w:cs="仿宋_GB2312"/>
          <w:color w:val="auto"/>
          <w:sz w:val="32"/>
          <w:szCs w:val="32"/>
        </w:rPr>
        <w:t>实验教师队伍、辅导员队伍、</w:t>
      </w:r>
      <w:r>
        <w:rPr>
          <w:rFonts w:hint="eastAsia" w:ascii="仿宋_GB2312" w:hAnsi="仿宋_GB2312" w:eastAsia="仿宋_GB2312" w:cs="仿宋_GB2312"/>
          <w:color w:val="auto"/>
          <w:sz w:val="32"/>
          <w:szCs w:val="32"/>
          <w:lang w:eastAsia="zh-Hans"/>
        </w:rPr>
        <w:t>后勤队伍、其他专业技术队伍</w:t>
      </w:r>
      <w:r>
        <w:rPr>
          <w:rFonts w:hint="eastAsia" w:ascii="仿宋_GB2312" w:hAnsi="仿宋_GB2312" w:eastAsia="仿宋_GB2312" w:cs="仿宋_GB2312"/>
          <w:color w:val="auto"/>
          <w:sz w:val="32"/>
          <w:szCs w:val="32"/>
        </w:rPr>
        <w:t>建设，</w:t>
      </w:r>
      <w:r>
        <w:rPr>
          <w:rFonts w:hint="eastAsia" w:ascii="仿宋_GB2312" w:hAnsi="仿宋_GB2312" w:eastAsia="仿宋_GB2312" w:cs="仿宋_GB2312"/>
          <w:color w:val="auto"/>
          <w:sz w:val="32"/>
          <w:szCs w:val="32"/>
          <w:lang w:eastAsia="zh-Hans"/>
        </w:rPr>
        <w:t>完善相应的职业晋升通道、职称评聘机制、考核机制等。</w:t>
      </w:r>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仿宋_GB2312" w:hAnsi="仿宋_GB2312" w:eastAsia="仿宋_GB2312" w:cs="仿宋_GB2312"/>
          <w:color w:val="auto"/>
        </w:rPr>
      </w:pPr>
      <w:bookmarkStart w:id="68" w:name="_Toc1799304060"/>
      <w:bookmarkStart w:id="69" w:name="_Toc1249479312"/>
      <w:bookmarkStart w:id="70" w:name="_Toc2050759321"/>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四</w:t>
      </w:r>
      <w:r>
        <w:rPr>
          <w:rFonts w:hint="eastAsia" w:ascii="楷体_GB2312" w:hAnsi="楷体_GB2312" w:eastAsia="楷体_GB2312" w:cs="楷体_GB2312"/>
          <w:b w:val="0"/>
          <w:bCs w:val="0"/>
          <w:color w:val="auto"/>
        </w:rPr>
        <w:t>）科学研究</w:t>
      </w:r>
      <w:bookmarkEnd w:id="68"/>
      <w:bookmarkEnd w:id="69"/>
      <w:r>
        <w:rPr>
          <w:rFonts w:hint="eastAsia" w:ascii="楷体_GB2312" w:hAnsi="楷体_GB2312" w:eastAsia="楷体_GB2312" w:cs="楷体_GB2312"/>
          <w:b w:val="0"/>
          <w:bCs w:val="0"/>
          <w:color w:val="auto"/>
          <w:lang w:eastAsia="zh-Hans"/>
        </w:rPr>
        <w:t>与学科建设</w:t>
      </w:r>
      <w:bookmarkEnd w:id="70"/>
    </w:p>
    <w:p>
      <w:pPr>
        <w:pageBreakBefore w:val="0"/>
        <w:kinsoku/>
        <w:wordWrap/>
        <w:overflowPunct/>
        <w:topLinePunct w:val="0"/>
        <w:autoSpaceDE/>
        <w:autoSpaceDN/>
        <w:bidi w:val="0"/>
        <w:spacing w:line="52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 xml:space="preserve">1.建设思路 </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Hans"/>
        </w:rPr>
        <w:t>立足地方性、应用型办学定位，</w:t>
      </w:r>
      <w:r>
        <w:rPr>
          <w:rFonts w:hint="eastAsia" w:ascii="仿宋_GB2312" w:hAnsi="仿宋_GB2312" w:eastAsia="仿宋_GB2312" w:cs="仿宋_GB2312"/>
          <w:color w:val="auto"/>
          <w:sz w:val="32"/>
          <w:szCs w:val="32"/>
        </w:rPr>
        <w:t>结合</w:t>
      </w:r>
      <w:r>
        <w:rPr>
          <w:rFonts w:hint="eastAsia" w:ascii="仿宋_GB2312" w:hAnsi="仿宋_GB2312" w:eastAsia="仿宋_GB2312" w:cs="仿宋_GB2312"/>
          <w:color w:val="auto"/>
          <w:sz w:val="32"/>
          <w:szCs w:val="32"/>
          <w:lang w:eastAsia="zh-Hans"/>
        </w:rPr>
        <w:t>地方</w:t>
      </w:r>
      <w:r>
        <w:rPr>
          <w:rFonts w:hint="eastAsia" w:ascii="仿宋_GB2312" w:hAnsi="仿宋_GB2312" w:eastAsia="仿宋_GB2312" w:cs="仿宋_GB2312"/>
          <w:color w:val="auto"/>
          <w:sz w:val="32"/>
          <w:szCs w:val="32"/>
        </w:rPr>
        <w:t>经济与社会发展需求，围绕武汉国家中心城市、“五个湖北”、中部崛起、战略支点、长江经济带等区域发展战略，</w:t>
      </w:r>
      <w:r>
        <w:rPr>
          <w:rFonts w:hint="eastAsia" w:ascii="仿宋_GB2312" w:hAnsi="仿宋_GB2312" w:eastAsia="仿宋_GB2312" w:cs="仿宋_GB2312"/>
          <w:color w:val="auto"/>
          <w:sz w:val="32"/>
          <w:szCs w:val="32"/>
          <w:lang w:eastAsia="zh-Hans"/>
        </w:rPr>
        <w:t>发挥</w:t>
      </w:r>
      <w:r>
        <w:rPr>
          <w:rFonts w:hint="eastAsia" w:ascii="仿宋_GB2312" w:hAnsi="仿宋_GB2312" w:eastAsia="仿宋_GB2312" w:cs="仿宋_GB2312"/>
          <w:color w:val="auto"/>
          <w:sz w:val="32"/>
          <w:szCs w:val="32"/>
        </w:rPr>
        <w:t>学校工科优势，</w:t>
      </w:r>
      <w:r>
        <w:rPr>
          <w:rFonts w:hint="eastAsia" w:ascii="仿宋_GB2312" w:hAnsi="仿宋_GB2312" w:eastAsia="仿宋_GB2312" w:cs="仿宋_GB2312"/>
          <w:color w:val="auto"/>
          <w:sz w:val="32"/>
          <w:szCs w:val="32"/>
          <w:lang w:eastAsia="zh-Hans"/>
        </w:rPr>
        <w:t>突出重点，突出应用，</w:t>
      </w:r>
      <w:r>
        <w:rPr>
          <w:rFonts w:hint="eastAsia" w:ascii="仿宋_GB2312" w:hAnsi="仿宋_GB2312" w:eastAsia="仿宋_GB2312" w:cs="仿宋_GB2312"/>
          <w:color w:val="auto"/>
          <w:sz w:val="32"/>
          <w:szCs w:val="32"/>
        </w:rPr>
        <w:t>凝练科研</w:t>
      </w:r>
      <w:r>
        <w:rPr>
          <w:rFonts w:hint="eastAsia" w:ascii="仿宋_GB2312" w:hAnsi="仿宋_GB2312" w:eastAsia="仿宋_GB2312" w:cs="仿宋_GB2312"/>
          <w:color w:val="auto"/>
          <w:sz w:val="32"/>
          <w:szCs w:val="32"/>
          <w:lang w:eastAsia="zh-Hans"/>
        </w:rPr>
        <w:t>方向，服务社会</w:t>
      </w:r>
      <w:r>
        <w:rPr>
          <w:rFonts w:hint="eastAsia" w:ascii="仿宋_GB2312" w:hAnsi="仿宋_GB2312" w:eastAsia="仿宋_GB2312" w:cs="仿宋_GB2312"/>
          <w:color w:val="auto"/>
          <w:sz w:val="32"/>
          <w:szCs w:val="32"/>
        </w:rPr>
        <w:t>；通过整合资源，开放合作，</w:t>
      </w:r>
      <w:r>
        <w:rPr>
          <w:rFonts w:hint="eastAsia" w:ascii="仿宋_GB2312" w:hAnsi="仿宋_GB2312" w:eastAsia="仿宋_GB2312" w:cs="仿宋_GB2312"/>
          <w:color w:val="auto"/>
          <w:sz w:val="32"/>
          <w:szCs w:val="32"/>
          <w:lang w:eastAsia="zh-Hans"/>
        </w:rPr>
        <w:t>拓展</w:t>
      </w:r>
      <w:r>
        <w:rPr>
          <w:rFonts w:hint="eastAsia" w:ascii="仿宋_GB2312" w:hAnsi="仿宋_GB2312" w:eastAsia="仿宋_GB2312" w:cs="仿宋_GB2312"/>
          <w:color w:val="auto"/>
          <w:sz w:val="32"/>
          <w:szCs w:val="32"/>
        </w:rPr>
        <w:t>横向课题渠道，提升纵向课题层次</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深化科研体制机制改革，提高科研</w:t>
      </w:r>
      <w:r>
        <w:rPr>
          <w:rFonts w:hint="eastAsia" w:ascii="仿宋_GB2312" w:hAnsi="仿宋_GB2312" w:eastAsia="仿宋_GB2312" w:cs="仿宋_GB2312"/>
          <w:color w:val="auto"/>
          <w:sz w:val="32"/>
          <w:szCs w:val="32"/>
          <w:lang w:eastAsia="zh-Hans"/>
        </w:rPr>
        <w:t>队伍与科研成果</w:t>
      </w:r>
      <w:r>
        <w:rPr>
          <w:rFonts w:hint="eastAsia" w:ascii="仿宋_GB2312" w:hAnsi="仿宋_GB2312" w:eastAsia="仿宋_GB2312" w:cs="仿宋_GB2312"/>
          <w:color w:val="auto"/>
          <w:sz w:val="32"/>
          <w:szCs w:val="32"/>
        </w:rPr>
        <w:t>水平，打造特色鲜明、适应</w:t>
      </w:r>
      <w:r>
        <w:rPr>
          <w:rFonts w:hint="eastAsia" w:ascii="仿宋_GB2312" w:hAnsi="仿宋_GB2312" w:eastAsia="仿宋_GB2312" w:cs="仿宋_GB2312"/>
          <w:color w:val="auto"/>
          <w:sz w:val="32"/>
          <w:szCs w:val="32"/>
          <w:lang w:eastAsia="zh-Hans"/>
        </w:rPr>
        <w:t>地方</w:t>
      </w:r>
      <w:r>
        <w:rPr>
          <w:rFonts w:hint="eastAsia" w:ascii="仿宋_GB2312" w:hAnsi="仿宋_GB2312" w:eastAsia="仿宋_GB2312" w:cs="仿宋_GB2312"/>
          <w:color w:val="auto"/>
          <w:sz w:val="32"/>
          <w:szCs w:val="32"/>
        </w:rPr>
        <w:t>经济社会发展</w:t>
      </w:r>
      <w:r>
        <w:rPr>
          <w:rFonts w:hint="eastAsia" w:ascii="仿宋_GB2312" w:hAnsi="仿宋_GB2312" w:eastAsia="仿宋_GB2312" w:cs="仿宋_GB2312"/>
          <w:color w:val="auto"/>
          <w:sz w:val="32"/>
          <w:szCs w:val="32"/>
          <w:lang w:eastAsia="zh-Hans"/>
        </w:rPr>
        <w:t>需</w:t>
      </w:r>
      <w:r>
        <w:rPr>
          <w:rFonts w:hint="eastAsia" w:ascii="仿宋_GB2312" w:hAnsi="仿宋_GB2312" w:eastAsia="仿宋_GB2312" w:cs="仿宋_GB2312"/>
          <w:color w:val="auto"/>
          <w:sz w:val="32"/>
          <w:szCs w:val="32"/>
        </w:rPr>
        <w:t>求的学科平台，支撑特色鲜明的高水平应用型大学建设。</w:t>
      </w:r>
    </w:p>
    <w:p>
      <w:pPr>
        <w:pageBreakBefore w:val="0"/>
        <w:kinsoku/>
        <w:wordWrap/>
        <w:overflowPunct/>
        <w:topLinePunct w:val="0"/>
        <w:autoSpaceDE/>
        <w:autoSpaceDN/>
        <w:bidi w:val="0"/>
        <w:spacing w:line="52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w:t>
      </w:r>
      <w:r>
        <w:rPr>
          <w:rFonts w:hint="eastAsia" w:ascii="仿宋_GB2312" w:hAnsi="仿宋_GB2312" w:eastAsia="仿宋_GB2312" w:cs="仿宋_GB2312"/>
          <w:b/>
          <w:bCs/>
          <w:color w:val="auto"/>
          <w:sz w:val="32"/>
          <w:szCs w:val="32"/>
          <w:lang w:eastAsia="zh-Hans"/>
        </w:rPr>
        <w:t>建设内容</w:t>
      </w:r>
    </w:p>
    <w:p>
      <w:pPr>
        <w:pageBreakBefore w:val="0"/>
        <w:kinsoku/>
        <w:wordWrap/>
        <w:overflowPunct/>
        <w:topLinePunct w:val="0"/>
        <w:autoSpaceDE/>
        <w:autoSpaceDN/>
        <w:bidi w:val="0"/>
        <w:spacing w:line="520" w:lineRule="exact"/>
        <w:ind w:firstLine="640" w:firstLineChars="200"/>
        <w:jc w:val="left"/>
        <w:rPr>
          <w:rFonts w:hint="eastAsia" w:ascii="仿宋_GB2312" w:hAnsi="仿宋_GB2312" w:eastAsia="仿宋_GB2312" w:cs="仿宋_GB2312"/>
          <w:color w:val="auto"/>
          <w:sz w:val="32"/>
          <w:szCs w:val="32"/>
          <w:lang w:eastAsia="zh-Hans"/>
        </w:rPr>
      </w:pPr>
      <w:r>
        <w:rPr>
          <w:rFonts w:hint="eastAsia" w:ascii="仿宋_GB2312" w:hAnsi="仿宋_GB2312" w:eastAsia="仿宋_GB2312" w:cs="仿宋_GB2312"/>
          <w:color w:val="auto"/>
          <w:sz w:val="32"/>
          <w:szCs w:val="32"/>
          <w:lang w:eastAsia="zh-Hans"/>
        </w:rPr>
        <w:t>（1）</w:t>
      </w:r>
      <w:r>
        <w:rPr>
          <w:rFonts w:hint="eastAsia" w:ascii="仿宋_GB2312" w:hAnsi="仿宋_GB2312" w:eastAsia="仿宋_GB2312" w:cs="仿宋_GB2312"/>
          <w:color w:val="auto"/>
          <w:sz w:val="32"/>
          <w:szCs w:val="32"/>
        </w:rPr>
        <w:t>科研能力培育工程。落实学校科研提升战略，聚焦专业优势，凝练科研方向，组建科研团队，</w:t>
      </w:r>
      <w:r>
        <w:rPr>
          <w:rFonts w:hint="eastAsia" w:ascii="仿宋_GB2312" w:hAnsi="仿宋_GB2312" w:eastAsia="仿宋_GB2312" w:cs="仿宋_GB2312"/>
          <w:color w:val="auto"/>
          <w:sz w:val="32"/>
          <w:szCs w:val="32"/>
          <w:lang w:eastAsia="zh-Hans"/>
        </w:rPr>
        <w:t>打造科研平台，提升科研水平与竞争力。</w:t>
      </w:r>
    </w:p>
    <w:p>
      <w:pPr>
        <w:pageBreakBefore w:val="0"/>
        <w:kinsoku/>
        <w:wordWrap/>
        <w:overflowPunct/>
        <w:topLinePunct w:val="0"/>
        <w:autoSpaceDE/>
        <w:autoSpaceDN/>
        <w:bidi w:val="0"/>
        <w:spacing w:line="52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Hans"/>
        </w:rPr>
        <w:t>凝练重点科研方向。围绕湖北及武汉重点产业发展计划与目标，依托学校</w:t>
      </w:r>
      <w:r>
        <w:rPr>
          <w:rFonts w:hint="eastAsia" w:ascii="仿宋_GB2312" w:hAnsi="仿宋_GB2312" w:eastAsia="仿宋_GB2312" w:cs="仿宋_GB2312"/>
          <w:color w:val="auto"/>
          <w:sz w:val="32"/>
          <w:szCs w:val="32"/>
          <w:lang w:val="en-US" w:eastAsia="zh-CN"/>
        </w:rPr>
        <w:t>优势</w:t>
      </w:r>
      <w:r>
        <w:rPr>
          <w:rFonts w:hint="eastAsia" w:ascii="仿宋_GB2312" w:hAnsi="仿宋_GB2312" w:eastAsia="仿宋_GB2312" w:cs="仿宋_GB2312"/>
          <w:color w:val="auto"/>
          <w:sz w:val="32"/>
          <w:szCs w:val="32"/>
          <w:lang w:eastAsia="zh-Hans"/>
        </w:rPr>
        <w:t>学科专业，在</w:t>
      </w:r>
      <w:r>
        <w:rPr>
          <w:rFonts w:hint="eastAsia" w:ascii="仿宋_GB2312" w:hAnsi="仿宋_GB2312" w:eastAsia="仿宋_GB2312" w:cs="仿宋_GB2312"/>
          <w:sz w:val="32"/>
          <w:szCs w:val="32"/>
        </w:rPr>
        <w:t>智能制造、绿色智能建造、融媒体、农业与农村现代化</w:t>
      </w:r>
      <w:r>
        <w:rPr>
          <w:rFonts w:hint="eastAsia" w:ascii="仿宋_GB2312" w:hAnsi="仿宋_GB2312" w:eastAsia="仿宋_GB2312" w:cs="仿宋_GB2312"/>
          <w:color w:val="auto"/>
          <w:sz w:val="32"/>
          <w:szCs w:val="32"/>
          <w:lang w:eastAsia="zh-Hans"/>
        </w:rPr>
        <w:t>等领域形成主要研究方向和研究团队。</w:t>
      </w:r>
    </w:p>
    <w:p>
      <w:pPr>
        <w:pageBreakBefore w:val="0"/>
        <w:tabs>
          <w:tab w:val="left" w:pos="1428"/>
        </w:tabs>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Hans"/>
        </w:rPr>
        <w:t>建设高水平科研团队。进一步推进高层次科研人才与科研团队的</w:t>
      </w:r>
      <w:r>
        <w:rPr>
          <w:rFonts w:hint="eastAsia" w:ascii="仿宋_GB2312" w:hAnsi="仿宋_GB2312" w:eastAsia="仿宋_GB2312" w:cs="仿宋_GB2312"/>
          <w:color w:val="auto"/>
          <w:sz w:val="32"/>
          <w:szCs w:val="32"/>
          <w:lang w:val="en-US" w:eastAsia="zh-CN"/>
        </w:rPr>
        <w:t>遴选</w:t>
      </w:r>
      <w:r>
        <w:rPr>
          <w:rFonts w:hint="eastAsia" w:ascii="仿宋_GB2312" w:hAnsi="仿宋_GB2312" w:eastAsia="仿宋_GB2312" w:cs="仿宋_GB2312"/>
          <w:color w:val="auto"/>
          <w:sz w:val="32"/>
          <w:szCs w:val="32"/>
          <w:lang w:eastAsia="zh-Hans"/>
        </w:rPr>
        <w:t>、培养与引进工作；</w:t>
      </w:r>
      <w:r>
        <w:rPr>
          <w:rFonts w:hint="eastAsia" w:ascii="仿宋_GB2312" w:hAnsi="仿宋_GB2312" w:eastAsia="仿宋_GB2312" w:cs="仿宋_GB2312"/>
          <w:color w:val="auto"/>
          <w:sz w:val="32"/>
          <w:szCs w:val="32"/>
        </w:rPr>
        <w:t>开展科研团队科研能力的培养与培训活动；在拓宽项目申报渠道的同时，</w:t>
      </w:r>
      <w:r>
        <w:rPr>
          <w:rFonts w:hint="eastAsia" w:ascii="仿宋_GB2312" w:hAnsi="仿宋_GB2312" w:eastAsia="仿宋_GB2312" w:cs="仿宋_GB2312"/>
          <w:color w:val="auto"/>
          <w:sz w:val="32"/>
          <w:szCs w:val="32"/>
          <w:lang w:eastAsia="zh-Hans"/>
        </w:rPr>
        <w:t>继续坚持开放合作原则，</w:t>
      </w:r>
      <w:r>
        <w:rPr>
          <w:rFonts w:hint="eastAsia" w:ascii="仿宋_GB2312" w:hAnsi="仿宋_GB2312" w:eastAsia="仿宋_GB2312" w:cs="仿宋_GB2312"/>
          <w:color w:val="auto"/>
          <w:sz w:val="32"/>
          <w:szCs w:val="32"/>
        </w:rPr>
        <w:t>邀请外部专家定期就学校教师“项目选题、技术路线优化、创新挖掘”等</w:t>
      </w:r>
      <w:r>
        <w:rPr>
          <w:rFonts w:hint="eastAsia" w:ascii="仿宋_GB2312" w:hAnsi="仿宋_GB2312" w:eastAsia="仿宋_GB2312" w:cs="仿宋_GB2312"/>
          <w:color w:val="auto"/>
          <w:sz w:val="32"/>
          <w:szCs w:val="32"/>
          <w:lang w:eastAsia="zh-Hans"/>
        </w:rPr>
        <w:t>科研</w:t>
      </w:r>
      <w:r>
        <w:rPr>
          <w:rFonts w:hint="eastAsia" w:ascii="仿宋_GB2312" w:hAnsi="仿宋_GB2312" w:eastAsia="仿宋_GB2312" w:cs="仿宋_GB2312"/>
          <w:color w:val="auto"/>
          <w:sz w:val="32"/>
          <w:szCs w:val="32"/>
        </w:rPr>
        <w:t>问题进行指导与培训，提升</w:t>
      </w:r>
      <w:r>
        <w:rPr>
          <w:rFonts w:hint="eastAsia" w:ascii="仿宋_GB2312" w:hAnsi="仿宋_GB2312" w:eastAsia="仿宋_GB2312" w:cs="仿宋_GB2312"/>
          <w:color w:val="auto"/>
          <w:sz w:val="32"/>
          <w:szCs w:val="32"/>
          <w:lang w:eastAsia="zh-Hans"/>
        </w:rPr>
        <w:t>学</w:t>
      </w:r>
      <w:r>
        <w:rPr>
          <w:rFonts w:hint="eastAsia" w:ascii="仿宋_GB2312" w:hAnsi="仿宋_GB2312" w:eastAsia="仿宋_GB2312" w:cs="仿宋_GB2312"/>
          <w:color w:val="auto"/>
          <w:sz w:val="32"/>
          <w:szCs w:val="32"/>
        </w:rPr>
        <w:t>校科研队伍的研究能力</w:t>
      </w:r>
      <w:r>
        <w:rPr>
          <w:rFonts w:hint="eastAsia" w:ascii="仿宋_GB2312" w:hAnsi="仿宋_GB2312" w:eastAsia="仿宋_GB2312" w:cs="仿宋_GB2312"/>
          <w:color w:val="auto"/>
          <w:sz w:val="32"/>
          <w:szCs w:val="32"/>
          <w:lang w:eastAsia="zh-Hans"/>
        </w:rPr>
        <w:t>与</w:t>
      </w:r>
      <w:r>
        <w:rPr>
          <w:rFonts w:hint="eastAsia" w:ascii="仿宋_GB2312" w:hAnsi="仿宋_GB2312" w:eastAsia="仿宋_GB2312" w:cs="仿宋_GB2312"/>
          <w:color w:val="auto"/>
          <w:sz w:val="32"/>
          <w:szCs w:val="32"/>
        </w:rPr>
        <w:t>整体实力。</w:t>
      </w:r>
    </w:p>
    <w:p>
      <w:pPr>
        <w:pageBreakBefore w:val="0"/>
        <w:kinsoku/>
        <w:wordWrap/>
        <w:overflowPunct/>
        <w:topLinePunct w:val="0"/>
        <w:autoSpaceDE/>
        <w:autoSpaceDN/>
        <w:bidi w:val="0"/>
        <w:spacing w:line="52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推进高水平科研平台建设。重点围绕机械电子工程、电气工程、土木工程、生物工程、市场营销、新闻传播学、广播电视学等学校优势学科专业，搭建相关科研平台；加大科研平台建设资金投入和保障力度；以</w:t>
      </w:r>
      <w:r>
        <w:rPr>
          <w:rFonts w:hint="eastAsia" w:ascii="仿宋_GB2312" w:hAnsi="仿宋_GB2312" w:eastAsia="仿宋_GB2312" w:cs="仿宋_GB2312"/>
          <w:color w:val="auto"/>
          <w:sz w:val="32"/>
          <w:szCs w:val="32"/>
          <w:lang w:eastAsia="zh-Hans"/>
        </w:rPr>
        <w:t>科研</w:t>
      </w:r>
      <w:r>
        <w:rPr>
          <w:rFonts w:hint="eastAsia" w:ascii="仿宋_GB2312" w:hAnsi="仿宋_GB2312" w:eastAsia="仿宋_GB2312" w:cs="仿宋_GB2312"/>
          <w:color w:val="auto"/>
          <w:sz w:val="32"/>
          <w:szCs w:val="32"/>
        </w:rPr>
        <w:t>项目为依托，积极争取省教育厅与科技厅的政策支持，培育、申报省部级重点研究基地，实现省级及以上研究基地突破。</w:t>
      </w:r>
    </w:p>
    <w:p>
      <w:pPr>
        <w:pageBreakBefore w:val="0"/>
        <w:kinsoku/>
        <w:wordWrap/>
        <w:overflowPunct/>
        <w:topLinePunct w:val="0"/>
        <w:autoSpaceDE/>
        <w:autoSpaceDN/>
        <w:bidi w:val="0"/>
        <w:adjustRightInd w:val="0"/>
        <w:snapToGrid w:val="0"/>
        <w:spacing w:line="52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推进学校科研管理机制建设。重点开展科研激励机制建设、科研评价考核机制、科研服务教学和科研成果转化应用制度建设以及科研信息系统建设，提升学校教师科研积极性，提升学校科研管理规范性。引才引智，开放合作，培育我校科研人员和科研团队获取国家与地方科研资源的能力，获得更多的科研项目和经费。</w:t>
      </w:r>
    </w:p>
    <w:p>
      <w:pPr>
        <w:pageBreakBefore w:val="0"/>
        <w:tabs>
          <w:tab w:val="left" w:pos="1428"/>
        </w:tabs>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（2）建设科研教学融合体系，科研与教学紧密结合，实现科研成果转化为教学资源，使科研成果与毕业设计、课程设计、毕业选题、实验教学等更好融合。</w:t>
      </w:r>
    </w:p>
    <w:p>
      <w:pPr>
        <w:pageBreakBefore w:val="0"/>
        <w:kinsoku/>
        <w:wordWrap/>
        <w:overflowPunct/>
        <w:topLinePunct w:val="0"/>
        <w:autoSpaceDE/>
        <w:autoSpaceDN/>
        <w:bidi w:val="0"/>
        <w:spacing w:line="52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（3）根据《湖北省高等学校优势特色学科（群）建设项目管理办法》等文件精神，加强学科</w:t>
      </w:r>
      <w:r>
        <w:rPr>
          <w:rFonts w:hint="eastAsia" w:ascii="仿宋_GB2312" w:hAnsi="仿宋_GB2312" w:eastAsia="仿宋_GB2312" w:cs="仿宋_GB2312"/>
          <w:color w:val="auto"/>
          <w:sz w:val="32"/>
          <w:szCs w:val="32"/>
          <w:lang w:eastAsia="zh-Hans"/>
        </w:rPr>
        <w:t>分类</w:t>
      </w:r>
      <w:r>
        <w:rPr>
          <w:rFonts w:hint="eastAsia" w:ascii="仿宋_GB2312" w:hAnsi="仿宋_GB2312" w:eastAsia="仿宋_GB2312" w:cs="仿宋_GB2312"/>
          <w:color w:val="auto"/>
          <w:sz w:val="32"/>
          <w:szCs w:val="32"/>
        </w:rPr>
        <w:t>建设，分别设置建设目标，分层次进行建设经费投入，争取2-3个重点学科入选湖北省优势（重点）学科；按照《新增硕士学位授予单位申请基本条件》，加强硕士学位授予单位和授权点建设，争取达到申请条件</w:t>
      </w:r>
      <w:r>
        <w:rPr>
          <w:rFonts w:hint="eastAsia" w:ascii="仿宋_GB2312" w:hAnsi="仿宋_GB2312" w:eastAsia="仿宋_GB2312" w:cs="仿宋_GB2312"/>
          <w:color w:val="auto"/>
          <w:sz w:val="32"/>
          <w:szCs w:val="32"/>
          <w:lang w:eastAsia="zh-Hans"/>
        </w:rPr>
        <w:t>并</w:t>
      </w:r>
      <w:r>
        <w:rPr>
          <w:rFonts w:hint="eastAsia" w:ascii="仿宋_GB2312" w:hAnsi="仿宋_GB2312" w:eastAsia="仿宋_GB2312" w:cs="仿宋_GB2312"/>
          <w:color w:val="auto"/>
          <w:sz w:val="32"/>
          <w:szCs w:val="32"/>
        </w:rPr>
        <w:t>实现硕士学位授予单位和学位点的突破</w:t>
      </w:r>
      <w:r>
        <w:rPr>
          <w:rFonts w:hint="eastAsia" w:ascii="仿宋_GB2312" w:hAnsi="仿宋_GB2312" w:eastAsia="仿宋_GB2312" w:cs="仿宋_GB2312"/>
          <w:color w:val="auto"/>
          <w:sz w:val="32"/>
          <w:szCs w:val="32"/>
          <w:lang w:eastAsia="zh-Hans"/>
        </w:rPr>
        <w:t>。</w:t>
      </w:r>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仿宋_GB2312" w:hAnsi="仿宋_GB2312" w:eastAsia="仿宋_GB2312" w:cs="仿宋_GB2312"/>
          <w:color w:val="auto"/>
        </w:rPr>
      </w:pPr>
      <w:bookmarkStart w:id="71" w:name="_Toc2146857344"/>
      <w:bookmarkStart w:id="72" w:name="_Toc535622968"/>
      <w:bookmarkStart w:id="73" w:name="_Toc66840673"/>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五</w:t>
      </w:r>
      <w:r>
        <w:rPr>
          <w:rFonts w:hint="eastAsia" w:ascii="楷体_GB2312" w:hAnsi="楷体_GB2312" w:eastAsia="楷体_GB2312" w:cs="楷体_GB2312"/>
          <w:b w:val="0"/>
          <w:bCs w:val="0"/>
          <w:color w:val="auto"/>
        </w:rPr>
        <w:t>）校园</w:t>
      </w:r>
      <w:r>
        <w:rPr>
          <w:rFonts w:hint="eastAsia" w:ascii="楷体_GB2312" w:hAnsi="楷体_GB2312" w:eastAsia="楷体_GB2312" w:cs="楷体_GB2312"/>
          <w:b w:val="0"/>
          <w:bCs w:val="0"/>
          <w:color w:val="auto"/>
          <w:lang w:eastAsia="zh-Hans"/>
        </w:rPr>
        <w:t>与基础设施</w:t>
      </w:r>
      <w:r>
        <w:rPr>
          <w:rFonts w:hint="eastAsia" w:ascii="楷体_GB2312" w:hAnsi="楷体_GB2312" w:eastAsia="楷体_GB2312" w:cs="楷体_GB2312"/>
          <w:b w:val="0"/>
          <w:bCs w:val="0"/>
          <w:color w:val="auto"/>
        </w:rPr>
        <w:t>建设</w:t>
      </w:r>
      <w:bookmarkEnd w:id="71"/>
      <w:bookmarkEnd w:id="72"/>
      <w:bookmarkEnd w:id="73"/>
    </w:p>
    <w:p>
      <w:pPr>
        <w:pageBreakBefore w:val="0"/>
        <w:kinsoku/>
        <w:wordWrap/>
        <w:overflowPunct/>
        <w:topLinePunct w:val="0"/>
        <w:autoSpaceDE/>
        <w:autoSpaceDN/>
        <w:bidi w:val="0"/>
        <w:spacing w:line="52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1.建设思路</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统筹规划、突出重点、分步实施、开放共享”的建设思路，紧密围绕学校改革和发展目标，增强基建工作服务意识与创新意识，强化基建工作为教学科研服务、为广大师生服务的宗旨，结合学校实际发展需要，充分发挥两个校区的综合优势，统筹考虑两个校区办学侧重点，按不同校区的发展定位与特点进行基础设施建设与升级。</w:t>
      </w:r>
    </w:p>
    <w:p>
      <w:pPr>
        <w:pageBreakBefore w:val="0"/>
        <w:kinsoku/>
        <w:wordWrap/>
        <w:overflowPunct/>
        <w:topLinePunct w:val="0"/>
        <w:autoSpaceDE/>
        <w:autoSpaceDN/>
        <w:bidi w:val="0"/>
        <w:spacing w:line="52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2.</w:t>
      </w:r>
      <w:r>
        <w:rPr>
          <w:rFonts w:hint="eastAsia" w:ascii="仿宋_GB2312" w:hAnsi="仿宋_GB2312" w:eastAsia="仿宋_GB2312" w:cs="仿宋_GB2312"/>
          <w:b/>
          <w:bCs/>
          <w:color w:val="auto"/>
          <w:sz w:val="32"/>
          <w:szCs w:val="32"/>
          <w:lang w:eastAsia="zh-Hans"/>
        </w:rPr>
        <w:t>建设</w:t>
      </w:r>
      <w:r>
        <w:rPr>
          <w:rFonts w:hint="eastAsia" w:ascii="仿宋_GB2312" w:hAnsi="仿宋_GB2312" w:eastAsia="仿宋_GB2312" w:cs="仿宋_GB2312"/>
          <w:b/>
          <w:bCs/>
          <w:color w:val="auto"/>
          <w:sz w:val="32"/>
          <w:szCs w:val="32"/>
        </w:rPr>
        <w:t>任务</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（1）适时启动武昌校区图书馆改造工程，更新相关设备、设施；新建办公实训大楼，同时完成相关教学楼、公寓的外立面改造。</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（2）根据各教学单位实际情况，实现对相关教学单位的搬迁，完善其办公条件，满足发展需要。</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（3）补充完善嘉鱼校区配套基础设施，推进美丽校园建设，完善教学区（含行政区）、生活区各区之间交通连接、景观工程，完成文体中心建设工程。</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加强基础实验室和专业实验室建设。根据新工科、新文科、新商科建设发展需要，采用校企合作投资、学校独立投资等方式，加快基础实验室、特色专业实验室建设，改扩建已有专业实验室；新建和改造大学物理演示实验室、智能制造综合训练中心、大数据实验室、人工智能实验室、智能建造实验室、视觉艺术与数字工艺实验室、智能传播实验室、数字营销实验室等一批基础和专业实验室。</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（5）加大经费投入，增购外文文献，推进图书馆纸电资源一体化建设，建立学校教学资源数据库；构建图书馆智慧化服务平台，组建图书馆大数据中心。</w:t>
      </w:r>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楷体_GB2312" w:hAnsi="楷体_GB2312" w:eastAsia="楷体_GB2312" w:cs="楷体_GB2312"/>
          <w:b w:val="0"/>
          <w:bCs w:val="0"/>
          <w:color w:val="auto"/>
        </w:rPr>
      </w:pPr>
      <w:bookmarkStart w:id="74" w:name="_Toc257243730"/>
      <w:bookmarkStart w:id="75" w:name="_Toc2111258599"/>
      <w:bookmarkStart w:id="76" w:name="_Toc211143714"/>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六</w:t>
      </w:r>
      <w:r>
        <w:rPr>
          <w:rFonts w:hint="eastAsia" w:ascii="楷体_GB2312" w:hAnsi="楷体_GB2312" w:eastAsia="楷体_GB2312" w:cs="楷体_GB2312"/>
          <w:b w:val="0"/>
          <w:bCs w:val="0"/>
          <w:color w:val="auto"/>
        </w:rPr>
        <w:t>）信息化建设</w:t>
      </w:r>
      <w:bookmarkEnd w:id="74"/>
      <w:bookmarkEnd w:id="75"/>
      <w:bookmarkEnd w:id="76"/>
    </w:p>
    <w:p>
      <w:pPr>
        <w:pageBreakBefore w:val="0"/>
        <w:kinsoku/>
        <w:wordWrap/>
        <w:overflowPunct/>
        <w:topLinePunct w:val="0"/>
        <w:autoSpaceDE/>
        <w:autoSpaceDN/>
        <w:bidi w:val="0"/>
        <w:spacing w:line="520" w:lineRule="exact"/>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1.建设思路</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秉持“以市场换资源、内外部协同合作”的信息化建设理念，通过校企合作、自主投入等形式，充分挖掘与升级现有信息化资源，满足学校全方位信息化需求，力争到2025年，初步建成完整统一、技术先进、高效稳定、安全可靠的校园信息化体系，为学校培养德智体美劳全面发展的高素质应用型人才与建设成为特色鲜明的高水平应用型大学提供重要的信息化支持与保障。</w:t>
      </w:r>
    </w:p>
    <w:p>
      <w:pPr>
        <w:pageBreakBefore w:val="0"/>
        <w:kinsoku/>
        <w:wordWrap/>
        <w:overflowPunct/>
        <w:topLinePunct w:val="0"/>
        <w:autoSpaceDE/>
        <w:autoSpaceDN/>
        <w:bidi w:val="0"/>
        <w:spacing w:line="520" w:lineRule="exact"/>
        <w:ind w:firstLine="643"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
          <w:bCs/>
          <w:color w:val="auto"/>
          <w:sz w:val="32"/>
          <w:szCs w:val="32"/>
        </w:rPr>
        <w:t>2.</w:t>
      </w:r>
      <w:r>
        <w:rPr>
          <w:rFonts w:hint="eastAsia" w:ascii="仿宋_GB2312" w:hAnsi="仿宋_GB2312" w:eastAsia="仿宋_GB2312" w:cs="仿宋_GB2312"/>
          <w:b/>
          <w:bCs/>
          <w:color w:val="auto"/>
          <w:sz w:val="32"/>
          <w:szCs w:val="32"/>
          <w:lang w:eastAsia="zh-Hans"/>
        </w:rPr>
        <w:t>建设内容</w:t>
      </w:r>
    </w:p>
    <w:p>
      <w:pPr>
        <w:pageBreakBefore w:val="0"/>
        <w:tabs>
          <w:tab w:val="left" w:pos="1428"/>
        </w:tabs>
        <w:kinsoku/>
        <w:wordWrap/>
        <w:overflowPunct/>
        <w:topLinePunct w:val="0"/>
        <w:autoSpaceDE/>
        <w:autoSpaceDN/>
        <w:bidi w:val="0"/>
        <w:spacing w:line="520"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（1）加强信息化基础设施建设，提升服务教学能力。实现楼宇万兆互联，提升校园网用户千兆接入比例，升级出口带宽，</w:t>
      </w:r>
      <w:r>
        <w:rPr>
          <w:rFonts w:hint="eastAsia" w:ascii="仿宋_GB2312" w:hAnsi="仿宋_GB2312" w:eastAsia="仿宋_GB2312" w:cs="仿宋_GB2312"/>
          <w:color w:val="auto"/>
          <w:sz w:val="32"/>
          <w:szCs w:val="32"/>
        </w:rPr>
        <w:t>推进IPv4和IPv6双线部署，增强无线接入网覆盖，探索物联网、5G网络等技术在智慧校园中运用，</w:t>
      </w:r>
      <w:r>
        <w:rPr>
          <w:rFonts w:hint="eastAsia" w:ascii="仿宋_GB2312" w:hAnsi="仿宋_GB2312" w:eastAsia="仿宋_GB2312" w:cs="仿宋_GB2312"/>
          <w:bCs/>
          <w:color w:val="auto"/>
          <w:sz w:val="32"/>
          <w:szCs w:val="32"/>
        </w:rPr>
        <w:t>建设校园网络、数据中心、校园卡系统、信息化教学环境。</w:t>
      </w:r>
    </w:p>
    <w:p>
      <w:pPr>
        <w:pageBreakBefore w:val="0"/>
        <w:tabs>
          <w:tab w:val="left" w:pos="1428"/>
        </w:tabs>
        <w:kinsoku/>
        <w:wordWrap/>
        <w:overflowPunct/>
        <w:topLinePunct w:val="0"/>
        <w:autoSpaceDE/>
        <w:autoSpaceDN/>
        <w:bidi w:val="0"/>
        <w:spacing w:line="520"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lang w:eastAsia="zh-Hans"/>
        </w:rPr>
        <w:t>（2）</w:t>
      </w:r>
      <w:r>
        <w:rPr>
          <w:rFonts w:hint="eastAsia" w:ascii="仿宋_GB2312" w:hAnsi="仿宋_GB2312" w:eastAsia="仿宋_GB2312" w:cs="仿宋_GB2312"/>
          <w:bCs/>
          <w:color w:val="auto"/>
          <w:sz w:val="32"/>
          <w:szCs w:val="32"/>
        </w:rPr>
        <w:t>加强信息资源建设，总体设计信息资源的建设内容、标准规范、建设方案、技术平台；建立各类基础数据的共享机制和可用机制；制定学校教学、科研、管理和服务过程中所产生的业务数据标准和业务数据资产目录。</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lang w:eastAsia="zh-Hans"/>
        </w:rPr>
        <w:t>）推进信息技术与教学融合，逐步实现学校重点教学区域wifi全覆盖，通过信息技术改革与提升教学方法。</w:t>
      </w:r>
    </w:p>
    <w:p>
      <w:pPr>
        <w:pageBreakBefore w:val="0"/>
        <w:tabs>
          <w:tab w:val="left" w:pos="1428"/>
        </w:tabs>
        <w:kinsoku/>
        <w:wordWrap/>
        <w:overflowPunct/>
        <w:topLinePunct w:val="0"/>
        <w:autoSpaceDE/>
        <w:autoSpaceDN/>
        <w:bidi w:val="0"/>
        <w:spacing w:line="520"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4）加强信息管理系统建设，提升校务治理智能化水平。新建OA协同办公平台、科研管理系统；优化、完善、升级统一身份认证系统、人事管理系统、教务管理系统、档案管理系统、资产管理系统、学工管理系统、图书馆管理系统、学校网站群系统等；引进统一支付平台，更换财务管理系统。</w:t>
      </w:r>
    </w:p>
    <w:p>
      <w:pPr>
        <w:pageBreakBefore w:val="0"/>
        <w:tabs>
          <w:tab w:val="left" w:pos="1428"/>
        </w:tabs>
        <w:kinsoku/>
        <w:wordWrap/>
        <w:overflowPunct/>
        <w:topLinePunct w:val="0"/>
        <w:autoSpaceDE/>
        <w:autoSpaceDN/>
        <w:bidi w:val="0"/>
        <w:spacing w:line="520"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（5）加强校园综合服务平台建设，提升服务师生水平。打造智慧校园，推进学校综合服务平台建设，扩展移动门户智慧首义功能建设，建设网上办事大厅。</w:t>
      </w:r>
    </w:p>
    <w:p>
      <w:pPr>
        <w:pageBreakBefore w:val="0"/>
        <w:tabs>
          <w:tab w:val="left" w:pos="1428"/>
        </w:tabs>
        <w:kinsoku/>
        <w:wordWrap/>
        <w:overflowPunct/>
        <w:topLinePunct w:val="0"/>
        <w:autoSpaceDE/>
        <w:autoSpaceDN/>
        <w:bidi w:val="0"/>
        <w:spacing w:line="520"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（6）加强网络安全与信息安全建设，提升网络安全保障水平。健全网络安全责任制</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完善</w:t>
      </w:r>
      <w:r>
        <w:rPr>
          <w:rFonts w:hint="eastAsia" w:ascii="仿宋_GB2312" w:hAnsi="仿宋_GB2312" w:eastAsia="仿宋_GB2312" w:cs="仿宋_GB2312"/>
          <w:bCs/>
          <w:color w:val="auto"/>
          <w:sz w:val="32"/>
          <w:szCs w:val="32"/>
        </w:rPr>
        <w:t>信息化系统运维机制与应急预案；加强网络安全与信息安全监控；推进信息系统等级保护与测评，购置IT资源管理系统，建设两校区异地容灾备份系统，建设舆情监测系统，引入第三方服务提高网络信息安全防护水平。</w:t>
      </w:r>
    </w:p>
    <w:p>
      <w:pPr>
        <w:pageBreakBefore w:val="0"/>
        <w:tabs>
          <w:tab w:val="left" w:pos="1428"/>
        </w:tabs>
        <w:kinsoku/>
        <w:wordWrap/>
        <w:overflowPunct/>
        <w:topLinePunct w:val="0"/>
        <w:autoSpaceDE/>
        <w:autoSpaceDN/>
        <w:bidi w:val="0"/>
        <w:spacing w:line="520" w:lineRule="exact"/>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（7）加强信息化人才队伍建设，提升信息系统项目管理水平。组织开展信息化素养培训，提升师生信息化素养。</w:t>
      </w:r>
    </w:p>
    <w:p>
      <w:pPr>
        <w:pStyle w:val="2"/>
        <w:pageBreakBefore w:val="0"/>
        <w:kinsoku/>
        <w:wordWrap/>
        <w:overflowPunct/>
        <w:topLinePunct w:val="0"/>
        <w:autoSpaceDE/>
        <w:autoSpaceDN/>
        <w:bidi w:val="0"/>
        <w:spacing w:before="0" w:beforeLines="0" w:after="0" w:afterLines="0" w:line="520" w:lineRule="exact"/>
        <w:ind w:firstLine="640" w:firstLineChars="200"/>
        <w:rPr>
          <w:rFonts w:hint="eastAsia" w:ascii="黑体" w:hAnsi="黑体" w:eastAsia="黑体" w:cs="黑体"/>
          <w:b w:val="0"/>
          <w:bCs w:val="0"/>
          <w:color w:val="auto"/>
          <w:lang w:eastAsia="zh-Hans"/>
        </w:rPr>
      </w:pPr>
      <w:bookmarkStart w:id="77" w:name="_Toc35763059"/>
      <w:bookmarkStart w:id="78" w:name="_Toc1049416354"/>
      <w:bookmarkStart w:id="79" w:name="_Toc553831433"/>
      <w:r>
        <w:rPr>
          <w:rFonts w:hint="eastAsia" w:ascii="黑体" w:hAnsi="黑体" w:eastAsia="黑体" w:cs="黑体"/>
          <w:b w:val="0"/>
          <w:bCs w:val="0"/>
          <w:color w:val="auto"/>
          <w:lang w:eastAsia="zh-Hans"/>
        </w:rPr>
        <w:t>四、</w:t>
      </w:r>
      <w:bookmarkEnd w:id="77"/>
      <w:r>
        <w:rPr>
          <w:rFonts w:hint="eastAsia" w:ascii="黑体" w:hAnsi="黑体" w:eastAsia="黑体" w:cs="黑体"/>
          <w:b w:val="0"/>
          <w:bCs w:val="0"/>
          <w:color w:val="auto"/>
          <w:lang w:eastAsia="zh-Hans"/>
        </w:rPr>
        <w:t>保障体系</w:t>
      </w:r>
      <w:bookmarkEnd w:id="78"/>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仿宋_GB2312" w:hAnsi="仿宋_GB2312" w:eastAsia="仿宋_GB2312" w:cs="仿宋_GB2312"/>
          <w:color w:val="auto"/>
        </w:rPr>
      </w:pPr>
      <w:bookmarkStart w:id="80" w:name="_Toc257468867"/>
      <w:bookmarkStart w:id="81" w:name="_Toc1542698528"/>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一</w:t>
      </w:r>
      <w:r>
        <w:rPr>
          <w:rFonts w:hint="eastAsia" w:ascii="楷体_GB2312" w:hAnsi="楷体_GB2312" w:eastAsia="楷体_GB2312" w:cs="楷体_GB2312"/>
          <w:b w:val="0"/>
          <w:bCs w:val="0"/>
          <w:color w:val="auto"/>
        </w:rPr>
        <w:t>）加强组织领导，形成发展共识</w:t>
      </w:r>
      <w:bookmarkEnd w:id="80"/>
      <w:bookmarkEnd w:id="81"/>
      <w:r>
        <w:rPr>
          <w:rFonts w:hint="eastAsia" w:ascii="仿宋_GB2312" w:hAnsi="仿宋_GB2312" w:eastAsia="仿宋_GB2312" w:cs="仿宋_GB2312"/>
          <w:color w:val="auto"/>
        </w:rPr>
        <w:t xml:space="preserve"> </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以学校总体规划为统领、专项规划为支撑，强化规划分工落实，科学编制年度目标任务，确保规划顺利实施。加大规划的宣传解读，统一思想、形成共识。 </w:t>
      </w:r>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楷体_GB2312" w:hAnsi="楷体_GB2312" w:eastAsia="楷体_GB2312" w:cs="楷体_GB2312"/>
          <w:b w:val="0"/>
          <w:bCs w:val="0"/>
          <w:color w:val="auto"/>
        </w:rPr>
      </w:pPr>
      <w:bookmarkStart w:id="82" w:name="_Toc1564089865"/>
      <w:bookmarkStart w:id="83" w:name="_Toc99698964"/>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二</w:t>
      </w:r>
      <w:r>
        <w:rPr>
          <w:rFonts w:hint="eastAsia" w:ascii="楷体_GB2312" w:hAnsi="楷体_GB2312" w:eastAsia="楷体_GB2312" w:cs="楷体_GB2312"/>
          <w:b w:val="0"/>
          <w:bCs w:val="0"/>
          <w:color w:val="auto"/>
        </w:rPr>
        <w:t>）加强规划监督，明确任务分工</w:t>
      </w:r>
      <w:bookmarkEnd w:id="82"/>
      <w:bookmarkEnd w:id="83"/>
      <w:r>
        <w:rPr>
          <w:rFonts w:hint="eastAsia" w:ascii="楷体_GB2312" w:hAnsi="楷体_GB2312" w:eastAsia="楷体_GB2312" w:cs="楷体_GB2312"/>
          <w:b w:val="0"/>
          <w:bCs w:val="0"/>
          <w:color w:val="auto"/>
        </w:rPr>
        <w:t xml:space="preserve"> </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各职能部门按照总体规划和专项规划要求，建立规划执行情况年度进展报告、中期评估、终期验收和动态调整制度，对规划确定的重点任务实行按计划节点督查通报。</w:t>
      </w:r>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楷体_GB2312" w:hAnsi="楷体_GB2312" w:eastAsia="楷体_GB2312" w:cs="楷体_GB2312"/>
          <w:b w:val="0"/>
          <w:bCs w:val="0"/>
          <w:color w:val="auto"/>
        </w:rPr>
      </w:pPr>
      <w:bookmarkStart w:id="84" w:name="_Toc603243288"/>
      <w:bookmarkStart w:id="85" w:name="_Toc311038128"/>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三</w:t>
      </w:r>
      <w:r>
        <w:rPr>
          <w:rFonts w:hint="eastAsia" w:ascii="楷体_GB2312" w:hAnsi="楷体_GB2312" w:eastAsia="楷体_GB2312" w:cs="楷体_GB2312"/>
          <w:b w:val="0"/>
          <w:bCs w:val="0"/>
          <w:color w:val="auto"/>
        </w:rPr>
        <w:t>）加强宣传动员，营造舆论氛围</w:t>
      </w:r>
      <w:bookmarkEnd w:id="84"/>
      <w:bookmarkEnd w:id="85"/>
      <w:r>
        <w:rPr>
          <w:rFonts w:hint="eastAsia" w:ascii="楷体_GB2312" w:hAnsi="楷体_GB2312" w:eastAsia="楷体_GB2312" w:cs="楷体_GB2312"/>
          <w:b w:val="0"/>
          <w:bCs w:val="0"/>
          <w:color w:val="auto"/>
        </w:rPr>
        <w:t xml:space="preserve"> </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开展形式多样的宣传活动，让全校师生员工认识规划、重视规划</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形成自觉按照规划谋发展的意识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增强对学校未来五年奋斗目标、发展思路、战略任务的认同感、使命感和责任感</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提高对规划的执行意识，</w:t>
      </w:r>
      <w:r>
        <w:rPr>
          <w:rFonts w:hint="eastAsia" w:ascii="仿宋_GB2312" w:hAnsi="仿宋_GB2312" w:eastAsia="仿宋_GB2312" w:cs="仿宋_GB2312"/>
          <w:color w:val="auto"/>
          <w:sz w:val="32"/>
          <w:szCs w:val="32"/>
          <w:highlight w:val="none"/>
          <w:lang w:val="en-US" w:eastAsia="zh-CN"/>
        </w:rPr>
        <w:t>积极</w:t>
      </w:r>
      <w:r>
        <w:rPr>
          <w:rFonts w:hint="eastAsia" w:ascii="仿宋_GB2312" w:hAnsi="仿宋_GB2312" w:eastAsia="仿宋_GB2312" w:cs="仿宋_GB2312"/>
          <w:color w:val="auto"/>
          <w:sz w:val="32"/>
          <w:szCs w:val="32"/>
          <w:highlight w:val="none"/>
        </w:rPr>
        <w:t>参与</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 xml:space="preserve">监督规划的执行过程，形成舆论监督机制。 </w:t>
      </w:r>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仿宋_GB2312" w:hAnsi="仿宋_GB2312" w:eastAsia="仿宋_GB2312" w:cs="仿宋_GB2312"/>
          <w:color w:val="auto"/>
          <w:highlight w:val="none"/>
        </w:rPr>
      </w:pPr>
      <w:bookmarkStart w:id="86" w:name="_Toc642620498"/>
      <w:bookmarkStart w:id="87" w:name="_Toc439643929"/>
      <w:r>
        <w:rPr>
          <w:rFonts w:hint="eastAsia" w:ascii="楷体_GB2312" w:hAnsi="楷体_GB2312" w:eastAsia="楷体_GB2312" w:cs="楷体_GB2312"/>
          <w:b w:val="0"/>
          <w:bCs w:val="0"/>
          <w:color w:val="auto"/>
        </w:rPr>
        <w:t>（</w:t>
      </w:r>
      <w:r>
        <w:rPr>
          <w:rFonts w:hint="eastAsia" w:ascii="楷体_GB2312" w:hAnsi="楷体_GB2312" w:eastAsia="楷体_GB2312" w:cs="楷体_GB2312"/>
          <w:b w:val="0"/>
          <w:bCs w:val="0"/>
          <w:color w:val="auto"/>
          <w:lang w:eastAsia="zh-Hans"/>
        </w:rPr>
        <w:t>四</w:t>
      </w:r>
      <w:r>
        <w:rPr>
          <w:rFonts w:hint="eastAsia" w:ascii="楷体_GB2312" w:hAnsi="楷体_GB2312" w:eastAsia="楷体_GB2312" w:cs="楷体_GB2312"/>
          <w:b w:val="0"/>
          <w:bCs w:val="0"/>
          <w:color w:val="auto"/>
        </w:rPr>
        <w:t>）加强综合考评，健全督查机制</w:t>
      </w:r>
      <w:bookmarkEnd w:id="86"/>
      <w:bookmarkEnd w:id="87"/>
      <w:r>
        <w:rPr>
          <w:rFonts w:hint="eastAsia" w:ascii="仿宋_GB2312" w:hAnsi="仿宋_GB2312" w:eastAsia="仿宋_GB2312" w:cs="仿宋_GB2312"/>
          <w:color w:val="auto"/>
          <w:highlight w:val="none"/>
        </w:rPr>
        <w:t xml:space="preserve"> </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建立健全绩效考核评价、</w:t>
      </w:r>
      <w:r>
        <w:rPr>
          <w:rFonts w:hint="eastAsia" w:ascii="仿宋_GB2312" w:hAnsi="仿宋_GB2312" w:eastAsia="仿宋_GB2312" w:cs="仿宋_GB2312"/>
          <w:color w:val="auto"/>
          <w:sz w:val="32"/>
          <w:szCs w:val="32"/>
          <w:highlight w:val="none"/>
          <w:lang w:val="en-US" w:eastAsia="zh-CN"/>
        </w:rPr>
        <w:t>发展规划</w:t>
      </w:r>
      <w:r>
        <w:rPr>
          <w:rFonts w:hint="eastAsia" w:ascii="仿宋_GB2312" w:hAnsi="仿宋_GB2312" w:eastAsia="仿宋_GB2312" w:cs="仿宋_GB2312"/>
          <w:color w:val="auto"/>
          <w:sz w:val="32"/>
          <w:szCs w:val="32"/>
          <w:highlight w:val="none"/>
        </w:rPr>
        <w:t>阶段性自评和集中督查制度。鼓励探索创新，畅通校内外了解和监督规划执行情况的渠道，把规划实施情况考核结果作为资源配置和干部调整</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重要依据。</w:t>
      </w:r>
      <w:bookmarkStart w:id="88" w:name="_Toc1751769023"/>
    </w:p>
    <w:p>
      <w:pPr>
        <w:pStyle w:val="2"/>
        <w:pageBreakBefore w:val="0"/>
        <w:kinsoku/>
        <w:wordWrap/>
        <w:overflowPunct/>
        <w:topLinePunct w:val="0"/>
        <w:autoSpaceDE/>
        <w:autoSpaceDN/>
        <w:bidi w:val="0"/>
        <w:spacing w:before="0" w:beforeLines="0" w:after="0" w:afterLines="0" w:line="520" w:lineRule="exact"/>
        <w:ind w:firstLine="640" w:firstLineChars="200"/>
        <w:rPr>
          <w:rFonts w:hint="eastAsia" w:ascii="黑体" w:hAnsi="黑体" w:eastAsia="黑体" w:cs="黑体"/>
          <w:b w:val="0"/>
          <w:bCs w:val="0"/>
          <w:color w:val="auto"/>
          <w:lang w:eastAsia="zh-Hans"/>
        </w:rPr>
      </w:pPr>
      <w:r>
        <w:rPr>
          <w:rFonts w:hint="eastAsia" w:ascii="黑体" w:hAnsi="黑体" w:eastAsia="黑体" w:cs="黑体"/>
          <w:b w:val="0"/>
          <w:bCs w:val="0"/>
          <w:color w:val="auto"/>
          <w:lang w:eastAsia="zh-Hans"/>
        </w:rPr>
        <w:t>五、推进与实施</w:t>
      </w:r>
      <w:bookmarkEnd w:id="79"/>
      <w:bookmarkEnd w:id="88"/>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楷体_GB2312" w:hAnsi="楷体_GB2312" w:eastAsia="楷体_GB2312" w:cs="楷体_GB2312"/>
          <w:b w:val="0"/>
          <w:bCs w:val="0"/>
          <w:color w:val="auto"/>
        </w:rPr>
      </w:pPr>
      <w:bookmarkStart w:id="89" w:name="_Toc2128652838"/>
      <w:bookmarkStart w:id="90" w:name="_Toc52041239"/>
      <w:bookmarkStart w:id="91" w:name="_Toc1050768333"/>
      <w:bookmarkStart w:id="92" w:name="_Hlk51957991"/>
      <w:r>
        <w:rPr>
          <w:rFonts w:hint="eastAsia" w:ascii="楷体_GB2312" w:hAnsi="楷体_GB2312" w:eastAsia="楷体_GB2312" w:cs="楷体_GB2312"/>
          <w:b w:val="0"/>
          <w:bCs w:val="0"/>
          <w:color w:val="auto"/>
        </w:rPr>
        <w:t>（一）规划实施</w:t>
      </w:r>
      <w:bookmarkEnd w:id="89"/>
      <w:bookmarkEnd w:id="90"/>
      <w:bookmarkEnd w:id="91"/>
    </w:p>
    <w:p>
      <w:pPr>
        <w:pageBreakBefore w:val="0"/>
        <w:tabs>
          <w:tab w:val="left" w:pos="1428"/>
        </w:tabs>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根据“十四五”</w:t>
      </w:r>
      <w:r>
        <w:rPr>
          <w:rFonts w:hint="eastAsia" w:ascii="仿宋_GB2312" w:hAnsi="仿宋_GB2312" w:eastAsia="仿宋_GB2312" w:cs="仿宋_GB2312"/>
          <w:color w:val="auto"/>
          <w:sz w:val="32"/>
          <w:szCs w:val="32"/>
          <w:lang w:eastAsia="zh-Hans"/>
        </w:rPr>
        <w:t>事业发展</w:t>
      </w:r>
      <w:r>
        <w:rPr>
          <w:rFonts w:hint="eastAsia" w:ascii="仿宋_GB2312" w:hAnsi="仿宋_GB2312" w:eastAsia="仿宋_GB2312" w:cs="仿宋_GB2312"/>
          <w:color w:val="auto"/>
          <w:sz w:val="32"/>
          <w:szCs w:val="32"/>
        </w:rPr>
        <w:t>规划总体要求，</w:t>
      </w:r>
      <w:r>
        <w:rPr>
          <w:rFonts w:hint="eastAsia" w:ascii="仿宋_GB2312" w:hAnsi="仿宋_GB2312" w:eastAsia="仿宋_GB2312" w:cs="仿宋_GB2312"/>
          <w:color w:val="auto"/>
          <w:sz w:val="32"/>
          <w:szCs w:val="32"/>
          <w:lang w:eastAsia="zh-Hans"/>
        </w:rPr>
        <w:t>分解、</w:t>
      </w:r>
      <w:r>
        <w:rPr>
          <w:rFonts w:hint="eastAsia" w:ascii="仿宋_GB2312" w:hAnsi="仿宋_GB2312" w:eastAsia="仿宋_GB2312" w:cs="仿宋_GB2312"/>
          <w:color w:val="auto"/>
          <w:sz w:val="32"/>
          <w:szCs w:val="32"/>
        </w:rPr>
        <w:t>制定年度计划与每学期工作重点。</w:t>
      </w:r>
    </w:p>
    <w:p>
      <w:pPr>
        <w:pageBreakBefore w:val="0"/>
        <w:tabs>
          <w:tab w:val="left" w:pos="1428"/>
        </w:tabs>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各教学单位根据学校“十四五”规划总体要求，制定学院“十四五”工作重点与目标，落实好学校“十四五”规划的战略优先工作和各项目标。</w:t>
      </w:r>
    </w:p>
    <w:p>
      <w:pPr>
        <w:pageBreakBefore w:val="0"/>
        <w:tabs>
          <w:tab w:val="left" w:pos="1428"/>
        </w:tabs>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各职能部门根据学校“十四五”规划总体要求，分解任务，制定职能部门工作计划，落实好学校“十四五”规划战略优先和各项目标的统筹协调工作、保障工作、资源配置工作与支持服务工作。</w:t>
      </w:r>
      <w:bookmarkEnd w:id="92"/>
    </w:p>
    <w:p>
      <w:pPr>
        <w:pStyle w:val="3"/>
        <w:pageBreakBefore w:val="0"/>
        <w:kinsoku/>
        <w:wordWrap/>
        <w:overflowPunct/>
        <w:topLinePunct w:val="0"/>
        <w:autoSpaceDE/>
        <w:autoSpaceDN/>
        <w:bidi w:val="0"/>
        <w:spacing w:before="0" w:beforeLines="0" w:after="0" w:afterLines="0" w:line="520" w:lineRule="exact"/>
        <w:ind w:firstLine="640" w:firstLineChars="200"/>
        <w:jc w:val="left"/>
        <w:rPr>
          <w:rFonts w:hint="eastAsia" w:ascii="楷体_GB2312" w:hAnsi="楷体_GB2312" w:eastAsia="楷体_GB2312" w:cs="楷体_GB2312"/>
          <w:b w:val="0"/>
          <w:bCs w:val="0"/>
          <w:color w:val="auto"/>
        </w:rPr>
      </w:pPr>
      <w:bookmarkStart w:id="93" w:name="_Toc1338172893"/>
      <w:bookmarkStart w:id="94" w:name="_Toc52041240"/>
      <w:bookmarkStart w:id="95" w:name="_Toc1505343450"/>
      <w:r>
        <w:rPr>
          <w:rFonts w:hint="eastAsia" w:ascii="楷体_GB2312" w:hAnsi="楷体_GB2312" w:eastAsia="楷体_GB2312" w:cs="楷体_GB2312"/>
          <w:b w:val="0"/>
          <w:bCs w:val="0"/>
          <w:color w:val="auto"/>
        </w:rPr>
        <w:t>（二）评估与调整</w:t>
      </w:r>
      <w:bookmarkEnd w:id="93"/>
      <w:bookmarkEnd w:id="94"/>
      <w:bookmarkEnd w:id="95"/>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建立</w:t>
      </w:r>
      <w:r>
        <w:rPr>
          <w:rFonts w:hint="eastAsia" w:ascii="仿宋_GB2312" w:hAnsi="仿宋_GB2312" w:eastAsia="仿宋_GB2312" w:cs="仿宋_GB2312"/>
          <w:color w:val="auto"/>
          <w:sz w:val="32"/>
          <w:szCs w:val="32"/>
          <w:lang w:eastAsia="zh-Hans"/>
        </w:rPr>
        <w:t>规划</w:t>
      </w:r>
      <w:r>
        <w:rPr>
          <w:rFonts w:hint="eastAsia" w:ascii="仿宋_GB2312" w:hAnsi="仿宋_GB2312" w:eastAsia="仿宋_GB2312" w:cs="仿宋_GB2312"/>
          <w:color w:val="auto"/>
          <w:sz w:val="32"/>
          <w:szCs w:val="32"/>
        </w:rPr>
        <w:t>实施评估系统，定期对规划实施情况和实施效果进行跟踪、检查和评估。对阶段性目标落实情况</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rPr>
        <w:t>各项指标达标情况进行检查评估，以制度形式强化评估手段，建立问责和反馈机制，评估各单位之间的行动一致性，提高规划实施效率。</w:t>
      </w:r>
    </w:p>
    <w:p>
      <w:pPr>
        <w:pageBreakBefore w:val="0"/>
        <w:kinsoku/>
        <w:wordWrap/>
        <w:overflowPunct/>
        <w:topLinePunct w:val="0"/>
        <w:autoSpaceDE/>
        <w:autoSpaceDN/>
        <w:bidi w:val="0"/>
        <w:spacing w:line="52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建立</w:t>
      </w:r>
      <w:r>
        <w:rPr>
          <w:rFonts w:hint="eastAsia" w:ascii="仿宋_GB2312" w:hAnsi="仿宋_GB2312" w:eastAsia="仿宋_GB2312" w:cs="仿宋_GB2312"/>
          <w:color w:val="auto"/>
          <w:sz w:val="32"/>
          <w:szCs w:val="32"/>
          <w:lang w:eastAsia="zh-Hans"/>
        </w:rPr>
        <w:t>规划</w:t>
      </w:r>
      <w:r>
        <w:rPr>
          <w:rFonts w:hint="eastAsia" w:ascii="仿宋_GB2312" w:hAnsi="仿宋_GB2312" w:eastAsia="仿宋_GB2312" w:cs="仿宋_GB2312"/>
          <w:color w:val="auto"/>
          <w:sz w:val="32"/>
          <w:szCs w:val="32"/>
        </w:rPr>
        <w:t>调整机制，</w:t>
      </w:r>
      <w:r>
        <w:rPr>
          <w:rFonts w:hint="eastAsia" w:ascii="仿宋_GB2312" w:hAnsi="仿宋_GB2312" w:eastAsia="仿宋_GB2312" w:cs="仿宋_GB2312"/>
          <w:color w:val="auto"/>
          <w:sz w:val="32"/>
          <w:szCs w:val="32"/>
          <w:lang w:val="en-US" w:eastAsia="zh-CN"/>
        </w:rPr>
        <w:t>结合</w:t>
      </w:r>
      <w:r>
        <w:rPr>
          <w:rFonts w:hint="eastAsia" w:ascii="仿宋_GB2312" w:hAnsi="仿宋_GB2312" w:eastAsia="仿宋_GB2312" w:cs="仿宋_GB2312"/>
          <w:color w:val="auto"/>
          <w:sz w:val="32"/>
          <w:szCs w:val="32"/>
        </w:rPr>
        <w:t>评估结果与目标完成情况，及时调整和完善规划目标和具体任务，并根据实际发展情况更新规划落实措施，确保规划在发展过程中实现持续改进，提高“十四五”发展规划的科学性、合理性与指导性。</w:t>
      </w: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PAGE   \* MERGEFORMAT</w:instrText>
    </w:r>
    <w:r>
      <w:fldChar w:fldCharType="separate"/>
    </w:r>
    <w:r>
      <w:rPr>
        <w:lang w:val="zh-CN"/>
      </w:rPr>
      <w:t>20</w:t>
    </w:r>
    <w:r>
      <w:fldChar w:fldCharType="end"/>
    </w:r>
  </w:p>
  <w:p>
    <w:pPr>
      <w:spacing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0"/>
      <w:ind w:firstLine="5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59C"/>
    <w:rsid w:val="0000607D"/>
    <w:rsid w:val="00051918"/>
    <w:rsid w:val="000937D8"/>
    <w:rsid w:val="000C6B71"/>
    <w:rsid w:val="001832A5"/>
    <w:rsid w:val="001D2B8D"/>
    <w:rsid w:val="00205797"/>
    <w:rsid w:val="002603A9"/>
    <w:rsid w:val="00266850"/>
    <w:rsid w:val="002B44FD"/>
    <w:rsid w:val="002D7DDA"/>
    <w:rsid w:val="002F3409"/>
    <w:rsid w:val="00327B6E"/>
    <w:rsid w:val="00362269"/>
    <w:rsid w:val="00371C6E"/>
    <w:rsid w:val="003C3918"/>
    <w:rsid w:val="003E41E3"/>
    <w:rsid w:val="0040088D"/>
    <w:rsid w:val="00412C1F"/>
    <w:rsid w:val="004359B5"/>
    <w:rsid w:val="00470A15"/>
    <w:rsid w:val="0049041B"/>
    <w:rsid w:val="0049056D"/>
    <w:rsid w:val="00512680"/>
    <w:rsid w:val="00534E47"/>
    <w:rsid w:val="005D226A"/>
    <w:rsid w:val="005E4D54"/>
    <w:rsid w:val="005F5CEA"/>
    <w:rsid w:val="00623325"/>
    <w:rsid w:val="006418E1"/>
    <w:rsid w:val="006965F0"/>
    <w:rsid w:val="006B2907"/>
    <w:rsid w:val="006B5D10"/>
    <w:rsid w:val="006C0CB0"/>
    <w:rsid w:val="006C4481"/>
    <w:rsid w:val="0070059C"/>
    <w:rsid w:val="00734D0D"/>
    <w:rsid w:val="007657F7"/>
    <w:rsid w:val="00787873"/>
    <w:rsid w:val="007B1F53"/>
    <w:rsid w:val="007C69A4"/>
    <w:rsid w:val="007D00FE"/>
    <w:rsid w:val="007F03A3"/>
    <w:rsid w:val="00806DBC"/>
    <w:rsid w:val="008260AB"/>
    <w:rsid w:val="008A7415"/>
    <w:rsid w:val="008B024E"/>
    <w:rsid w:val="008C253D"/>
    <w:rsid w:val="008D1683"/>
    <w:rsid w:val="008D5197"/>
    <w:rsid w:val="00901A68"/>
    <w:rsid w:val="00902A71"/>
    <w:rsid w:val="0091206F"/>
    <w:rsid w:val="0091765A"/>
    <w:rsid w:val="00920941"/>
    <w:rsid w:val="00935053"/>
    <w:rsid w:val="00937CEC"/>
    <w:rsid w:val="009407D2"/>
    <w:rsid w:val="0095007D"/>
    <w:rsid w:val="0096104C"/>
    <w:rsid w:val="00961F57"/>
    <w:rsid w:val="00996C7D"/>
    <w:rsid w:val="009C0802"/>
    <w:rsid w:val="009C2325"/>
    <w:rsid w:val="009C2E40"/>
    <w:rsid w:val="00A1265E"/>
    <w:rsid w:val="00A31041"/>
    <w:rsid w:val="00A37144"/>
    <w:rsid w:val="00A724D9"/>
    <w:rsid w:val="00A937FB"/>
    <w:rsid w:val="00A93F31"/>
    <w:rsid w:val="00AE2B2C"/>
    <w:rsid w:val="00B42FC0"/>
    <w:rsid w:val="00B71EBC"/>
    <w:rsid w:val="00BA42B9"/>
    <w:rsid w:val="00BC7AF4"/>
    <w:rsid w:val="00BD0D66"/>
    <w:rsid w:val="00BF7CF8"/>
    <w:rsid w:val="00C10BEF"/>
    <w:rsid w:val="00C975BA"/>
    <w:rsid w:val="00C97983"/>
    <w:rsid w:val="00CB7A3E"/>
    <w:rsid w:val="00D063AA"/>
    <w:rsid w:val="00D15E88"/>
    <w:rsid w:val="00D20EC9"/>
    <w:rsid w:val="00DA3D5D"/>
    <w:rsid w:val="00DD4A3B"/>
    <w:rsid w:val="00DD78E8"/>
    <w:rsid w:val="00E06340"/>
    <w:rsid w:val="00E34F45"/>
    <w:rsid w:val="00E62250"/>
    <w:rsid w:val="00E917D1"/>
    <w:rsid w:val="00EC3D95"/>
    <w:rsid w:val="00EC4A81"/>
    <w:rsid w:val="00EF4590"/>
    <w:rsid w:val="00F130FA"/>
    <w:rsid w:val="00F216E7"/>
    <w:rsid w:val="00F40624"/>
    <w:rsid w:val="00F54020"/>
    <w:rsid w:val="00F80F06"/>
    <w:rsid w:val="00FB6E23"/>
    <w:rsid w:val="00FE1A90"/>
    <w:rsid w:val="010A2FEA"/>
    <w:rsid w:val="01180231"/>
    <w:rsid w:val="012C74C2"/>
    <w:rsid w:val="017E4C59"/>
    <w:rsid w:val="01826AA4"/>
    <w:rsid w:val="01845A25"/>
    <w:rsid w:val="018528E3"/>
    <w:rsid w:val="01A40B47"/>
    <w:rsid w:val="01B25B00"/>
    <w:rsid w:val="01C34375"/>
    <w:rsid w:val="01CF138A"/>
    <w:rsid w:val="01D26B16"/>
    <w:rsid w:val="01DB131E"/>
    <w:rsid w:val="01F806A4"/>
    <w:rsid w:val="02154044"/>
    <w:rsid w:val="026405D1"/>
    <w:rsid w:val="026612DB"/>
    <w:rsid w:val="02687707"/>
    <w:rsid w:val="028410FB"/>
    <w:rsid w:val="02A2606A"/>
    <w:rsid w:val="02A74B08"/>
    <w:rsid w:val="02E078F5"/>
    <w:rsid w:val="02E22C36"/>
    <w:rsid w:val="02FC5A13"/>
    <w:rsid w:val="03200FDD"/>
    <w:rsid w:val="0330389A"/>
    <w:rsid w:val="03516340"/>
    <w:rsid w:val="035B4A67"/>
    <w:rsid w:val="036D5D3A"/>
    <w:rsid w:val="036F41C6"/>
    <w:rsid w:val="0382019D"/>
    <w:rsid w:val="038B11CD"/>
    <w:rsid w:val="038D4862"/>
    <w:rsid w:val="03AF6DBD"/>
    <w:rsid w:val="03B656AC"/>
    <w:rsid w:val="03CB59D6"/>
    <w:rsid w:val="03CC3AE4"/>
    <w:rsid w:val="03E17B21"/>
    <w:rsid w:val="03E2575D"/>
    <w:rsid w:val="03F86DF9"/>
    <w:rsid w:val="040D7C1A"/>
    <w:rsid w:val="043D551B"/>
    <w:rsid w:val="046A00FE"/>
    <w:rsid w:val="049B1E87"/>
    <w:rsid w:val="049E60CD"/>
    <w:rsid w:val="04BA16DB"/>
    <w:rsid w:val="04F15F93"/>
    <w:rsid w:val="0519696C"/>
    <w:rsid w:val="051C502C"/>
    <w:rsid w:val="058E4BC4"/>
    <w:rsid w:val="05944B42"/>
    <w:rsid w:val="059B6414"/>
    <w:rsid w:val="05B80425"/>
    <w:rsid w:val="05BC7B9D"/>
    <w:rsid w:val="05DD153F"/>
    <w:rsid w:val="05DD5D98"/>
    <w:rsid w:val="05F024B7"/>
    <w:rsid w:val="05FA447A"/>
    <w:rsid w:val="060F399E"/>
    <w:rsid w:val="06124698"/>
    <w:rsid w:val="06382F4D"/>
    <w:rsid w:val="0641056E"/>
    <w:rsid w:val="064A518E"/>
    <w:rsid w:val="064E29E3"/>
    <w:rsid w:val="065006B3"/>
    <w:rsid w:val="06A22895"/>
    <w:rsid w:val="06A93F9B"/>
    <w:rsid w:val="06BB2F75"/>
    <w:rsid w:val="06C93481"/>
    <w:rsid w:val="06CD0338"/>
    <w:rsid w:val="06DB550F"/>
    <w:rsid w:val="07142679"/>
    <w:rsid w:val="07161E90"/>
    <w:rsid w:val="072D3253"/>
    <w:rsid w:val="07860B44"/>
    <w:rsid w:val="078F4E0B"/>
    <w:rsid w:val="07B16BA3"/>
    <w:rsid w:val="07B9499F"/>
    <w:rsid w:val="07CD2387"/>
    <w:rsid w:val="07D66239"/>
    <w:rsid w:val="07E70AB4"/>
    <w:rsid w:val="081A616D"/>
    <w:rsid w:val="08247229"/>
    <w:rsid w:val="082D357A"/>
    <w:rsid w:val="084A5E46"/>
    <w:rsid w:val="08580AEB"/>
    <w:rsid w:val="085C33BB"/>
    <w:rsid w:val="085F6F87"/>
    <w:rsid w:val="08D41D37"/>
    <w:rsid w:val="08F53BFC"/>
    <w:rsid w:val="090D65A2"/>
    <w:rsid w:val="091D3A5F"/>
    <w:rsid w:val="093A5B54"/>
    <w:rsid w:val="09CC775D"/>
    <w:rsid w:val="09D13546"/>
    <w:rsid w:val="09DB6155"/>
    <w:rsid w:val="0A0B6816"/>
    <w:rsid w:val="0A2A1D0B"/>
    <w:rsid w:val="0A321EAB"/>
    <w:rsid w:val="0A3A636E"/>
    <w:rsid w:val="0A3E08C6"/>
    <w:rsid w:val="0A48392F"/>
    <w:rsid w:val="0A4D63C7"/>
    <w:rsid w:val="0A736AE9"/>
    <w:rsid w:val="0A7B3EE3"/>
    <w:rsid w:val="0A9C7FAC"/>
    <w:rsid w:val="0ACA7992"/>
    <w:rsid w:val="0B0D22BC"/>
    <w:rsid w:val="0B277D8A"/>
    <w:rsid w:val="0B2C2171"/>
    <w:rsid w:val="0B322BB2"/>
    <w:rsid w:val="0B3268A7"/>
    <w:rsid w:val="0B3D027A"/>
    <w:rsid w:val="0B42697A"/>
    <w:rsid w:val="0B4E3FCB"/>
    <w:rsid w:val="0B4F58F3"/>
    <w:rsid w:val="0BA370A9"/>
    <w:rsid w:val="0BCA688E"/>
    <w:rsid w:val="0BD30062"/>
    <w:rsid w:val="0BF72A83"/>
    <w:rsid w:val="0C151692"/>
    <w:rsid w:val="0C2F2182"/>
    <w:rsid w:val="0C4F05FE"/>
    <w:rsid w:val="0C551CC1"/>
    <w:rsid w:val="0C5B1DB3"/>
    <w:rsid w:val="0C78449D"/>
    <w:rsid w:val="0C8959FC"/>
    <w:rsid w:val="0C8F7AA6"/>
    <w:rsid w:val="0CBC2F98"/>
    <w:rsid w:val="0CBC419E"/>
    <w:rsid w:val="0CC579F0"/>
    <w:rsid w:val="0CDE62D2"/>
    <w:rsid w:val="0CE14E8D"/>
    <w:rsid w:val="0CEB45BB"/>
    <w:rsid w:val="0CF4137A"/>
    <w:rsid w:val="0CFA1CC0"/>
    <w:rsid w:val="0D0F66FB"/>
    <w:rsid w:val="0D2330EB"/>
    <w:rsid w:val="0D286232"/>
    <w:rsid w:val="0D2A3F0C"/>
    <w:rsid w:val="0D3156ED"/>
    <w:rsid w:val="0D341800"/>
    <w:rsid w:val="0D3C72C3"/>
    <w:rsid w:val="0D3E795A"/>
    <w:rsid w:val="0D435D0F"/>
    <w:rsid w:val="0D5D4503"/>
    <w:rsid w:val="0D5E008A"/>
    <w:rsid w:val="0D837675"/>
    <w:rsid w:val="0D881E6F"/>
    <w:rsid w:val="0D9B05AB"/>
    <w:rsid w:val="0D9E52D0"/>
    <w:rsid w:val="0D9E7CF2"/>
    <w:rsid w:val="0DA357E9"/>
    <w:rsid w:val="0DB16912"/>
    <w:rsid w:val="0DB574D9"/>
    <w:rsid w:val="0DBD1F39"/>
    <w:rsid w:val="0DC5706B"/>
    <w:rsid w:val="0DC72B5E"/>
    <w:rsid w:val="0DE7015E"/>
    <w:rsid w:val="0E16642F"/>
    <w:rsid w:val="0E177AD3"/>
    <w:rsid w:val="0E356D44"/>
    <w:rsid w:val="0E4B640A"/>
    <w:rsid w:val="0E6671B6"/>
    <w:rsid w:val="0E8667D9"/>
    <w:rsid w:val="0EC66528"/>
    <w:rsid w:val="0EC75B5E"/>
    <w:rsid w:val="0EEE6C1C"/>
    <w:rsid w:val="0EEF30C6"/>
    <w:rsid w:val="0F006F27"/>
    <w:rsid w:val="0F097138"/>
    <w:rsid w:val="0F1522F4"/>
    <w:rsid w:val="0F344545"/>
    <w:rsid w:val="0F3920F2"/>
    <w:rsid w:val="0F39494E"/>
    <w:rsid w:val="0F3E1309"/>
    <w:rsid w:val="0F6D71FF"/>
    <w:rsid w:val="0F8671D0"/>
    <w:rsid w:val="0F8F2E00"/>
    <w:rsid w:val="0F9A079D"/>
    <w:rsid w:val="0FA72EC7"/>
    <w:rsid w:val="0FBA4A5D"/>
    <w:rsid w:val="0FCA141B"/>
    <w:rsid w:val="0FD44746"/>
    <w:rsid w:val="100E4D4D"/>
    <w:rsid w:val="102E7597"/>
    <w:rsid w:val="103A6D30"/>
    <w:rsid w:val="1054126F"/>
    <w:rsid w:val="105C6E92"/>
    <w:rsid w:val="106218C1"/>
    <w:rsid w:val="1068448E"/>
    <w:rsid w:val="10834079"/>
    <w:rsid w:val="10AF761A"/>
    <w:rsid w:val="10B9602D"/>
    <w:rsid w:val="10BC149C"/>
    <w:rsid w:val="10DB20B4"/>
    <w:rsid w:val="10EC29A8"/>
    <w:rsid w:val="110F1A7F"/>
    <w:rsid w:val="1135765F"/>
    <w:rsid w:val="11573C4A"/>
    <w:rsid w:val="1170301D"/>
    <w:rsid w:val="117C03EF"/>
    <w:rsid w:val="117E1451"/>
    <w:rsid w:val="11952989"/>
    <w:rsid w:val="11BA331A"/>
    <w:rsid w:val="11C3571D"/>
    <w:rsid w:val="11FB4455"/>
    <w:rsid w:val="120E6B32"/>
    <w:rsid w:val="1223720C"/>
    <w:rsid w:val="123156FF"/>
    <w:rsid w:val="124967AE"/>
    <w:rsid w:val="125C7C88"/>
    <w:rsid w:val="128D71D5"/>
    <w:rsid w:val="12A61FEA"/>
    <w:rsid w:val="12B1660E"/>
    <w:rsid w:val="12B87464"/>
    <w:rsid w:val="12C148D7"/>
    <w:rsid w:val="12C27B83"/>
    <w:rsid w:val="12C66A77"/>
    <w:rsid w:val="12D414C7"/>
    <w:rsid w:val="12DD1D3E"/>
    <w:rsid w:val="12F65725"/>
    <w:rsid w:val="131E520F"/>
    <w:rsid w:val="1350382D"/>
    <w:rsid w:val="13702B5F"/>
    <w:rsid w:val="13721A96"/>
    <w:rsid w:val="138A58EE"/>
    <w:rsid w:val="139C2482"/>
    <w:rsid w:val="139F0B84"/>
    <w:rsid w:val="13A42923"/>
    <w:rsid w:val="13C00D79"/>
    <w:rsid w:val="13C820A6"/>
    <w:rsid w:val="13D53EA7"/>
    <w:rsid w:val="13D77494"/>
    <w:rsid w:val="13FC4031"/>
    <w:rsid w:val="14560C7D"/>
    <w:rsid w:val="1463173C"/>
    <w:rsid w:val="146C415B"/>
    <w:rsid w:val="14974ED8"/>
    <w:rsid w:val="14A61835"/>
    <w:rsid w:val="14B036BD"/>
    <w:rsid w:val="14DD1130"/>
    <w:rsid w:val="152E1042"/>
    <w:rsid w:val="1530460C"/>
    <w:rsid w:val="15315F05"/>
    <w:rsid w:val="154D16D5"/>
    <w:rsid w:val="154E6CE3"/>
    <w:rsid w:val="155A33E9"/>
    <w:rsid w:val="15682945"/>
    <w:rsid w:val="156E42AB"/>
    <w:rsid w:val="15745BCD"/>
    <w:rsid w:val="158E7F9A"/>
    <w:rsid w:val="15981BB4"/>
    <w:rsid w:val="15A824F6"/>
    <w:rsid w:val="15C763B9"/>
    <w:rsid w:val="15DD0ABD"/>
    <w:rsid w:val="15DD7CA6"/>
    <w:rsid w:val="15FF2580"/>
    <w:rsid w:val="16137D87"/>
    <w:rsid w:val="16282C9F"/>
    <w:rsid w:val="16444405"/>
    <w:rsid w:val="164657CF"/>
    <w:rsid w:val="16550FC9"/>
    <w:rsid w:val="168D28F4"/>
    <w:rsid w:val="168D3847"/>
    <w:rsid w:val="16A25639"/>
    <w:rsid w:val="16A401B4"/>
    <w:rsid w:val="16B17068"/>
    <w:rsid w:val="16BAAC36"/>
    <w:rsid w:val="16DA2CCC"/>
    <w:rsid w:val="16DB39D1"/>
    <w:rsid w:val="16E372DF"/>
    <w:rsid w:val="16E60E30"/>
    <w:rsid w:val="17000A5A"/>
    <w:rsid w:val="17006F07"/>
    <w:rsid w:val="1705432E"/>
    <w:rsid w:val="17172E77"/>
    <w:rsid w:val="176F33A2"/>
    <w:rsid w:val="17980ED1"/>
    <w:rsid w:val="17AA4BDF"/>
    <w:rsid w:val="17C415A5"/>
    <w:rsid w:val="17D22E8A"/>
    <w:rsid w:val="17ED0165"/>
    <w:rsid w:val="18015924"/>
    <w:rsid w:val="181A7150"/>
    <w:rsid w:val="181C0542"/>
    <w:rsid w:val="181E100E"/>
    <w:rsid w:val="183E51AC"/>
    <w:rsid w:val="18480D60"/>
    <w:rsid w:val="184D4640"/>
    <w:rsid w:val="187076F7"/>
    <w:rsid w:val="187208DB"/>
    <w:rsid w:val="18796008"/>
    <w:rsid w:val="187B5285"/>
    <w:rsid w:val="18923A7B"/>
    <w:rsid w:val="18924DC4"/>
    <w:rsid w:val="18942103"/>
    <w:rsid w:val="18A43E01"/>
    <w:rsid w:val="18AF09B8"/>
    <w:rsid w:val="18B42E8F"/>
    <w:rsid w:val="18C9153C"/>
    <w:rsid w:val="19046EF3"/>
    <w:rsid w:val="191D333B"/>
    <w:rsid w:val="193041EC"/>
    <w:rsid w:val="19397ACC"/>
    <w:rsid w:val="193D01CC"/>
    <w:rsid w:val="194D141C"/>
    <w:rsid w:val="194F5398"/>
    <w:rsid w:val="19583132"/>
    <w:rsid w:val="195A35D8"/>
    <w:rsid w:val="195D6C3D"/>
    <w:rsid w:val="196A7065"/>
    <w:rsid w:val="1970395B"/>
    <w:rsid w:val="197B58F4"/>
    <w:rsid w:val="199D2B68"/>
    <w:rsid w:val="19A03F9F"/>
    <w:rsid w:val="19C17E79"/>
    <w:rsid w:val="19DA3D1E"/>
    <w:rsid w:val="19E24C4A"/>
    <w:rsid w:val="1A012B40"/>
    <w:rsid w:val="1A122CDC"/>
    <w:rsid w:val="1A23651B"/>
    <w:rsid w:val="1A305826"/>
    <w:rsid w:val="1A632B13"/>
    <w:rsid w:val="1A755B87"/>
    <w:rsid w:val="1AAE391E"/>
    <w:rsid w:val="1AD31B84"/>
    <w:rsid w:val="1ADA12E2"/>
    <w:rsid w:val="1AEC5323"/>
    <w:rsid w:val="1AED3A81"/>
    <w:rsid w:val="1AEF48D4"/>
    <w:rsid w:val="1AF35DA5"/>
    <w:rsid w:val="1B04450C"/>
    <w:rsid w:val="1B1C7CBD"/>
    <w:rsid w:val="1B2B3EA9"/>
    <w:rsid w:val="1B561BDA"/>
    <w:rsid w:val="1B562C51"/>
    <w:rsid w:val="1B565928"/>
    <w:rsid w:val="1B686764"/>
    <w:rsid w:val="1B7C17E8"/>
    <w:rsid w:val="1BA9008B"/>
    <w:rsid w:val="1BB67695"/>
    <w:rsid w:val="1BB901F2"/>
    <w:rsid w:val="1BE80CE8"/>
    <w:rsid w:val="1BF44E14"/>
    <w:rsid w:val="1C194161"/>
    <w:rsid w:val="1C205041"/>
    <w:rsid w:val="1C273F0D"/>
    <w:rsid w:val="1C2D676E"/>
    <w:rsid w:val="1C406C2E"/>
    <w:rsid w:val="1C473BBB"/>
    <w:rsid w:val="1C4757C7"/>
    <w:rsid w:val="1C5C5C3E"/>
    <w:rsid w:val="1C5F5F73"/>
    <w:rsid w:val="1C642429"/>
    <w:rsid w:val="1C7E0E81"/>
    <w:rsid w:val="1C881DF7"/>
    <w:rsid w:val="1C907984"/>
    <w:rsid w:val="1CC64420"/>
    <w:rsid w:val="1CCE374A"/>
    <w:rsid w:val="1CD770D2"/>
    <w:rsid w:val="1CE57824"/>
    <w:rsid w:val="1CFD28DD"/>
    <w:rsid w:val="1D095C45"/>
    <w:rsid w:val="1D135799"/>
    <w:rsid w:val="1D135AC8"/>
    <w:rsid w:val="1D1C2241"/>
    <w:rsid w:val="1D1C2B56"/>
    <w:rsid w:val="1D30716E"/>
    <w:rsid w:val="1D4D0BA0"/>
    <w:rsid w:val="1D5A615F"/>
    <w:rsid w:val="1D755035"/>
    <w:rsid w:val="1DBC1940"/>
    <w:rsid w:val="1DC77BE3"/>
    <w:rsid w:val="1DD56E33"/>
    <w:rsid w:val="1E12776F"/>
    <w:rsid w:val="1E347987"/>
    <w:rsid w:val="1E4A07C1"/>
    <w:rsid w:val="1E4F5648"/>
    <w:rsid w:val="1E4F7D21"/>
    <w:rsid w:val="1E56051E"/>
    <w:rsid w:val="1E7E35B9"/>
    <w:rsid w:val="1E847AF5"/>
    <w:rsid w:val="1E86586E"/>
    <w:rsid w:val="1EA722D3"/>
    <w:rsid w:val="1EAC4108"/>
    <w:rsid w:val="1ED9564D"/>
    <w:rsid w:val="1EF03DA3"/>
    <w:rsid w:val="1F0E2104"/>
    <w:rsid w:val="1F1B334F"/>
    <w:rsid w:val="1F281127"/>
    <w:rsid w:val="1F3A17F2"/>
    <w:rsid w:val="1F486BA5"/>
    <w:rsid w:val="1F4B5388"/>
    <w:rsid w:val="1F586CFF"/>
    <w:rsid w:val="1F5B16B4"/>
    <w:rsid w:val="1F631494"/>
    <w:rsid w:val="1FA27C9E"/>
    <w:rsid w:val="1FA35F22"/>
    <w:rsid w:val="1FAF3768"/>
    <w:rsid w:val="1FC6082F"/>
    <w:rsid w:val="1FCF1DF9"/>
    <w:rsid w:val="1FD84DFF"/>
    <w:rsid w:val="1FD96D23"/>
    <w:rsid w:val="1FDD46E9"/>
    <w:rsid w:val="203B53FD"/>
    <w:rsid w:val="20431271"/>
    <w:rsid w:val="20753500"/>
    <w:rsid w:val="208658A1"/>
    <w:rsid w:val="208A4448"/>
    <w:rsid w:val="20914CFE"/>
    <w:rsid w:val="209C383A"/>
    <w:rsid w:val="20A70269"/>
    <w:rsid w:val="20C01C03"/>
    <w:rsid w:val="20DF134B"/>
    <w:rsid w:val="21236211"/>
    <w:rsid w:val="215D5104"/>
    <w:rsid w:val="216405F9"/>
    <w:rsid w:val="216C5577"/>
    <w:rsid w:val="21AA11ED"/>
    <w:rsid w:val="21E3493E"/>
    <w:rsid w:val="21E80D74"/>
    <w:rsid w:val="22171703"/>
    <w:rsid w:val="22431429"/>
    <w:rsid w:val="22436906"/>
    <w:rsid w:val="22440D8A"/>
    <w:rsid w:val="22674184"/>
    <w:rsid w:val="226B05F6"/>
    <w:rsid w:val="22814BFD"/>
    <w:rsid w:val="229F386C"/>
    <w:rsid w:val="22B03EEC"/>
    <w:rsid w:val="22CC56BF"/>
    <w:rsid w:val="22D77CCB"/>
    <w:rsid w:val="2301059D"/>
    <w:rsid w:val="238C16E6"/>
    <w:rsid w:val="239E001A"/>
    <w:rsid w:val="23A524F8"/>
    <w:rsid w:val="23CF7C34"/>
    <w:rsid w:val="23EF6FBF"/>
    <w:rsid w:val="24147BB8"/>
    <w:rsid w:val="24151B96"/>
    <w:rsid w:val="241C2339"/>
    <w:rsid w:val="242C6E32"/>
    <w:rsid w:val="2436520E"/>
    <w:rsid w:val="24484B28"/>
    <w:rsid w:val="24592F24"/>
    <w:rsid w:val="246536CE"/>
    <w:rsid w:val="246746C4"/>
    <w:rsid w:val="246A772F"/>
    <w:rsid w:val="246B574B"/>
    <w:rsid w:val="246C360C"/>
    <w:rsid w:val="24775756"/>
    <w:rsid w:val="24797EE4"/>
    <w:rsid w:val="24977347"/>
    <w:rsid w:val="24987985"/>
    <w:rsid w:val="24990DE2"/>
    <w:rsid w:val="24AC4D7E"/>
    <w:rsid w:val="24B57C07"/>
    <w:rsid w:val="24C758DF"/>
    <w:rsid w:val="24F72A14"/>
    <w:rsid w:val="251D61E5"/>
    <w:rsid w:val="254A59A2"/>
    <w:rsid w:val="254F45FE"/>
    <w:rsid w:val="25616065"/>
    <w:rsid w:val="258826B3"/>
    <w:rsid w:val="2589239C"/>
    <w:rsid w:val="259D4FFC"/>
    <w:rsid w:val="25A6544D"/>
    <w:rsid w:val="25C6144B"/>
    <w:rsid w:val="25E761EE"/>
    <w:rsid w:val="25F61DFB"/>
    <w:rsid w:val="261B775E"/>
    <w:rsid w:val="26620410"/>
    <w:rsid w:val="267A1B9D"/>
    <w:rsid w:val="267D5A5B"/>
    <w:rsid w:val="269A0E0E"/>
    <w:rsid w:val="269F376E"/>
    <w:rsid w:val="26B16127"/>
    <w:rsid w:val="27031B12"/>
    <w:rsid w:val="272B20AD"/>
    <w:rsid w:val="273B2EA4"/>
    <w:rsid w:val="274C3936"/>
    <w:rsid w:val="274E6FCE"/>
    <w:rsid w:val="27611F0C"/>
    <w:rsid w:val="277020B3"/>
    <w:rsid w:val="277241A7"/>
    <w:rsid w:val="27756F09"/>
    <w:rsid w:val="27812D0B"/>
    <w:rsid w:val="279265AE"/>
    <w:rsid w:val="279718EE"/>
    <w:rsid w:val="27C50AD9"/>
    <w:rsid w:val="27D2360A"/>
    <w:rsid w:val="27D26AAB"/>
    <w:rsid w:val="27E32FA8"/>
    <w:rsid w:val="27F3386B"/>
    <w:rsid w:val="28171C57"/>
    <w:rsid w:val="282C7C0B"/>
    <w:rsid w:val="282D73B5"/>
    <w:rsid w:val="28371BA3"/>
    <w:rsid w:val="287B7359"/>
    <w:rsid w:val="28A85A85"/>
    <w:rsid w:val="28B46219"/>
    <w:rsid w:val="28BE43B8"/>
    <w:rsid w:val="28D4440E"/>
    <w:rsid w:val="28E00A88"/>
    <w:rsid w:val="28F33481"/>
    <w:rsid w:val="28F94748"/>
    <w:rsid w:val="28FA15CA"/>
    <w:rsid w:val="28FF68B9"/>
    <w:rsid w:val="29237B7A"/>
    <w:rsid w:val="292A4FBB"/>
    <w:rsid w:val="293D63D8"/>
    <w:rsid w:val="29503F9D"/>
    <w:rsid w:val="295136F3"/>
    <w:rsid w:val="295A1E54"/>
    <w:rsid w:val="298E3677"/>
    <w:rsid w:val="29A0448D"/>
    <w:rsid w:val="29CA7C81"/>
    <w:rsid w:val="29CC577E"/>
    <w:rsid w:val="29D36700"/>
    <w:rsid w:val="29F258AB"/>
    <w:rsid w:val="29F46DCA"/>
    <w:rsid w:val="2A0118C5"/>
    <w:rsid w:val="2A116E65"/>
    <w:rsid w:val="2A367C92"/>
    <w:rsid w:val="2A39583A"/>
    <w:rsid w:val="2A395DD4"/>
    <w:rsid w:val="2A3E6465"/>
    <w:rsid w:val="2A522244"/>
    <w:rsid w:val="2A6C3D1A"/>
    <w:rsid w:val="2A975542"/>
    <w:rsid w:val="2AA914E9"/>
    <w:rsid w:val="2AF179CF"/>
    <w:rsid w:val="2AF227DD"/>
    <w:rsid w:val="2AFA2DD4"/>
    <w:rsid w:val="2AFD291F"/>
    <w:rsid w:val="2AFD4651"/>
    <w:rsid w:val="2B046262"/>
    <w:rsid w:val="2B255BC8"/>
    <w:rsid w:val="2B477F30"/>
    <w:rsid w:val="2B5E29DA"/>
    <w:rsid w:val="2B6B1DE0"/>
    <w:rsid w:val="2B7D45E4"/>
    <w:rsid w:val="2B960E9E"/>
    <w:rsid w:val="2B9A2EFC"/>
    <w:rsid w:val="2BB47970"/>
    <w:rsid w:val="2BD143EC"/>
    <w:rsid w:val="2BE65382"/>
    <w:rsid w:val="2BEA013B"/>
    <w:rsid w:val="2BEE2008"/>
    <w:rsid w:val="2BFB5645"/>
    <w:rsid w:val="2C0A0A26"/>
    <w:rsid w:val="2C2A6439"/>
    <w:rsid w:val="2C303679"/>
    <w:rsid w:val="2C317525"/>
    <w:rsid w:val="2C3F0D40"/>
    <w:rsid w:val="2C61602A"/>
    <w:rsid w:val="2C6D2AD0"/>
    <w:rsid w:val="2C743836"/>
    <w:rsid w:val="2C7E6D3B"/>
    <w:rsid w:val="2CA24F82"/>
    <w:rsid w:val="2CAD373C"/>
    <w:rsid w:val="2CB52E64"/>
    <w:rsid w:val="2CCA7C0B"/>
    <w:rsid w:val="2CCC65D8"/>
    <w:rsid w:val="2CCF628B"/>
    <w:rsid w:val="2CD57E77"/>
    <w:rsid w:val="2D0A6340"/>
    <w:rsid w:val="2D1C6610"/>
    <w:rsid w:val="2D245083"/>
    <w:rsid w:val="2D290573"/>
    <w:rsid w:val="2D296DC1"/>
    <w:rsid w:val="2D434C67"/>
    <w:rsid w:val="2D4B3A06"/>
    <w:rsid w:val="2D633BB3"/>
    <w:rsid w:val="2D66211E"/>
    <w:rsid w:val="2D7932C6"/>
    <w:rsid w:val="2D90328D"/>
    <w:rsid w:val="2DA62AA2"/>
    <w:rsid w:val="2DA7749E"/>
    <w:rsid w:val="2DBB2F1B"/>
    <w:rsid w:val="2DC51720"/>
    <w:rsid w:val="2DD65ECF"/>
    <w:rsid w:val="2DDE1865"/>
    <w:rsid w:val="2DFB60CB"/>
    <w:rsid w:val="2E2E6D3D"/>
    <w:rsid w:val="2E3B7BC3"/>
    <w:rsid w:val="2E4F589B"/>
    <w:rsid w:val="2E5F244E"/>
    <w:rsid w:val="2E6C2A4E"/>
    <w:rsid w:val="2E8C660E"/>
    <w:rsid w:val="2E8E7254"/>
    <w:rsid w:val="2EC113FA"/>
    <w:rsid w:val="2ED16AB5"/>
    <w:rsid w:val="2ED34E76"/>
    <w:rsid w:val="2ED82768"/>
    <w:rsid w:val="2EFA47EE"/>
    <w:rsid w:val="2F0D2B7E"/>
    <w:rsid w:val="2F1E6D80"/>
    <w:rsid w:val="2F236CB9"/>
    <w:rsid w:val="2F237745"/>
    <w:rsid w:val="2F2F2FE2"/>
    <w:rsid w:val="2F375AB4"/>
    <w:rsid w:val="2F397D22"/>
    <w:rsid w:val="2F631268"/>
    <w:rsid w:val="2F72248E"/>
    <w:rsid w:val="2F7F07AA"/>
    <w:rsid w:val="2FBF5F6A"/>
    <w:rsid w:val="2FDFF38E"/>
    <w:rsid w:val="2FE46188"/>
    <w:rsid w:val="30192476"/>
    <w:rsid w:val="303127D5"/>
    <w:rsid w:val="3050701A"/>
    <w:rsid w:val="305E3CC5"/>
    <w:rsid w:val="306E0657"/>
    <w:rsid w:val="3078350E"/>
    <w:rsid w:val="307F01D4"/>
    <w:rsid w:val="30894D07"/>
    <w:rsid w:val="30A037C5"/>
    <w:rsid w:val="30A74C40"/>
    <w:rsid w:val="30C799DF"/>
    <w:rsid w:val="30DC5D06"/>
    <w:rsid w:val="30F868A7"/>
    <w:rsid w:val="314400D8"/>
    <w:rsid w:val="314C340F"/>
    <w:rsid w:val="315722AE"/>
    <w:rsid w:val="316F7DA2"/>
    <w:rsid w:val="31706AF2"/>
    <w:rsid w:val="317C008B"/>
    <w:rsid w:val="317C743B"/>
    <w:rsid w:val="318B57EC"/>
    <w:rsid w:val="318E1248"/>
    <w:rsid w:val="3192107B"/>
    <w:rsid w:val="319A1855"/>
    <w:rsid w:val="31A536D1"/>
    <w:rsid w:val="31B4389F"/>
    <w:rsid w:val="31B75222"/>
    <w:rsid w:val="31B849BE"/>
    <w:rsid w:val="31DFDF60"/>
    <w:rsid w:val="31E01FDA"/>
    <w:rsid w:val="31F07A0D"/>
    <w:rsid w:val="31F147EF"/>
    <w:rsid w:val="320C6D0F"/>
    <w:rsid w:val="323E03D2"/>
    <w:rsid w:val="32522439"/>
    <w:rsid w:val="32855D51"/>
    <w:rsid w:val="32861589"/>
    <w:rsid w:val="32A12A2C"/>
    <w:rsid w:val="32C141F4"/>
    <w:rsid w:val="32CC3A41"/>
    <w:rsid w:val="33007C85"/>
    <w:rsid w:val="332B4809"/>
    <w:rsid w:val="33307876"/>
    <w:rsid w:val="33391454"/>
    <w:rsid w:val="33406C6B"/>
    <w:rsid w:val="33550DD9"/>
    <w:rsid w:val="337A22CD"/>
    <w:rsid w:val="337A77A5"/>
    <w:rsid w:val="339F5746"/>
    <w:rsid w:val="33B4451D"/>
    <w:rsid w:val="33BA4ED8"/>
    <w:rsid w:val="33C8438D"/>
    <w:rsid w:val="33E3675F"/>
    <w:rsid w:val="34252401"/>
    <w:rsid w:val="344D55C1"/>
    <w:rsid w:val="348B1193"/>
    <w:rsid w:val="348B2E8E"/>
    <w:rsid w:val="348D66BC"/>
    <w:rsid w:val="34953106"/>
    <w:rsid w:val="34BC6D8D"/>
    <w:rsid w:val="34C15C14"/>
    <w:rsid w:val="34DF4473"/>
    <w:rsid w:val="350A08AB"/>
    <w:rsid w:val="351163A8"/>
    <w:rsid w:val="352E4CBB"/>
    <w:rsid w:val="35396092"/>
    <w:rsid w:val="353A6F9B"/>
    <w:rsid w:val="354D49B0"/>
    <w:rsid w:val="35642D29"/>
    <w:rsid w:val="35747698"/>
    <w:rsid w:val="35A917E2"/>
    <w:rsid w:val="35EB7259"/>
    <w:rsid w:val="35F6074B"/>
    <w:rsid w:val="361A2C84"/>
    <w:rsid w:val="362742F6"/>
    <w:rsid w:val="36384D30"/>
    <w:rsid w:val="363F1D39"/>
    <w:rsid w:val="364C13C0"/>
    <w:rsid w:val="365749AD"/>
    <w:rsid w:val="366C41E7"/>
    <w:rsid w:val="3698134E"/>
    <w:rsid w:val="36AA4BE0"/>
    <w:rsid w:val="36AC7693"/>
    <w:rsid w:val="36AD7EB9"/>
    <w:rsid w:val="36B93663"/>
    <w:rsid w:val="36C247D5"/>
    <w:rsid w:val="36C25F3B"/>
    <w:rsid w:val="36E37B54"/>
    <w:rsid w:val="36E528DC"/>
    <w:rsid w:val="36FC57B7"/>
    <w:rsid w:val="371E5064"/>
    <w:rsid w:val="373D5E26"/>
    <w:rsid w:val="374C43F9"/>
    <w:rsid w:val="375D14AA"/>
    <w:rsid w:val="375F2D76"/>
    <w:rsid w:val="37602E56"/>
    <w:rsid w:val="376269A5"/>
    <w:rsid w:val="37892451"/>
    <w:rsid w:val="37911981"/>
    <w:rsid w:val="37B3348E"/>
    <w:rsid w:val="37BA173C"/>
    <w:rsid w:val="37C06B6E"/>
    <w:rsid w:val="37FC308C"/>
    <w:rsid w:val="38090753"/>
    <w:rsid w:val="3811142E"/>
    <w:rsid w:val="38424CCA"/>
    <w:rsid w:val="384365AB"/>
    <w:rsid w:val="385A39C5"/>
    <w:rsid w:val="38985041"/>
    <w:rsid w:val="38BE1003"/>
    <w:rsid w:val="38BF0496"/>
    <w:rsid w:val="38D80382"/>
    <w:rsid w:val="38EE7C7F"/>
    <w:rsid w:val="39027D87"/>
    <w:rsid w:val="392859CE"/>
    <w:rsid w:val="392F1F27"/>
    <w:rsid w:val="39307A65"/>
    <w:rsid w:val="394179FE"/>
    <w:rsid w:val="394E56AC"/>
    <w:rsid w:val="39506771"/>
    <w:rsid w:val="395978B7"/>
    <w:rsid w:val="395B7AF1"/>
    <w:rsid w:val="39607C0F"/>
    <w:rsid w:val="39847037"/>
    <w:rsid w:val="39E822E6"/>
    <w:rsid w:val="39F7B50B"/>
    <w:rsid w:val="3A130294"/>
    <w:rsid w:val="3A177FEB"/>
    <w:rsid w:val="3A231191"/>
    <w:rsid w:val="3A291AF5"/>
    <w:rsid w:val="3A38108E"/>
    <w:rsid w:val="3A506481"/>
    <w:rsid w:val="3A530957"/>
    <w:rsid w:val="3A572CE6"/>
    <w:rsid w:val="3A5935B2"/>
    <w:rsid w:val="3A6E4625"/>
    <w:rsid w:val="3A81541F"/>
    <w:rsid w:val="3A947B9E"/>
    <w:rsid w:val="3AAE7878"/>
    <w:rsid w:val="3ABE7861"/>
    <w:rsid w:val="3ACC26F5"/>
    <w:rsid w:val="3AF5200E"/>
    <w:rsid w:val="3AFB4E4E"/>
    <w:rsid w:val="3B035C06"/>
    <w:rsid w:val="3B0C763C"/>
    <w:rsid w:val="3B1A26D0"/>
    <w:rsid w:val="3B26571F"/>
    <w:rsid w:val="3B300DC3"/>
    <w:rsid w:val="3B373160"/>
    <w:rsid w:val="3B5733E8"/>
    <w:rsid w:val="3B6809DC"/>
    <w:rsid w:val="3B6D5B67"/>
    <w:rsid w:val="3B70552D"/>
    <w:rsid w:val="3B9738FE"/>
    <w:rsid w:val="3BA50E04"/>
    <w:rsid w:val="3BAD30F7"/>
    <w:rsid w:val="3BB93406"/>
    <w:rsid w:val="3BC50095"/>
    <w:rsid w:val="3BF95B4A"/>
    <w:rsid w:val="3BFB75AE"/>
    <w:rsid w:val="3C07132F"/>
    <w:rsid w:val="3C2A1523"/>
    <w:rsid w:val="3C3947F7"/>
    <w:rsid w:val="3C3B4D34"/>
    <w:rsid w:val="3C40772F"/>
    <w:rsid w:val="3C415CFE"/>
    <w:rsid w:val="3C445876"/>
    <w:rsid w:val="3C6E14F1"/>
    <w:rsid w:val="3C800280"/>
    <w:rsid w:val="3C8E6AD6"/>
    <w:rsid w:val="3CAC3517"/>
    <w:rsid w:val="3CC16CD9"/>
    <w:rsid w:val="3CCA0809"/>
    <w:rsid w:val="3CF62288"/>
    <w:rsid w:val="3D09145E"/>
    <w:rsid w:val="3D3B5BC7"/>
    <w:rsid w:val="3D453B10"/>
    <w:rsid w:val="3D4B4D85"/>
    <w:rsid w:val="3D53727E"/>
    <w:rsid w:val="3D553D14"/>
    <w:rsid w:val="3D7DE502"/>
    <w:rsid w:val="3DAD487C"/>
    <w:rsid w:val="3DD5263A"/>
    <w:rsid w:val="3DD7D644"/>
    <w:rsid w:val="3E112FA3"/>
    <w:rsid w:val="3E147A44"/>
    <w:rsid w:val="3E1F7932"/>
    <w:rsid w:val="3E224FD7"/>
    <w:rsid w:val="3E24239D"/>
    <w:rsid w:val="3E2E14D9"/>
    <w:rsid w:val="3E4C39EC"/>
    <w:rsid w:val="3E56668E"/>
    <w:rsid w:val="3E5F08C6"/>
    <w:rsid w:val="3E8E2156"/>
    <w:rsid w:val="3E980261"/>
    <w:rsid w:val="3EC57EF8"/>
    <w:rsid w:val="3EC97BEB"/>
    <w:rsid w:val="3ED67D6D"/>
    <w:rsid w:val="3ED7214B"/>
    <w:rsid w:val="3EEA77F5"/>
    <w:rsid w:val="3EF818B6"/>
    <w:rsid w:val="3EFBF3D9"/>
    <w:rsid w:val="3F010EFF"/>
    <w:rsid w:val="3F28689A"/>
    <w:rsid w:val="3F4A0AEE"/>
    <w:rsid w:val="3F4A8360"/>
    <w:rsid w:val="3F4B684B"/>
    <w:rsid w:val="3F527E62"/>
    <w:rsid w:val="3F797222"/>
    <w:rsid w:val="3F8594DC"/>
    <w:rsid w:val="3F901E97"/>
    <w:rsid w:val="3FA72207"/>
    <w:rsid w:val="3FAD5353"/>
    <w:rsid w:val="3FAF2D1F"/>
    <w:rsid w:val="3FCF9BA8"/>
    <w:rsid w:val="3FE1187A"/>
    <w:rsid w:val="3FEB799B"/>
    <w:rsid w:val="3FF9818C"/>
    <w:rsid w:val="3FFE6793"/>
    <w:rsid w:val="3FFFC573"/>
    <w:rsid w:val="40326653"/>
    <w:rsid w:val="403E0BD2"/>
    <w:rsid w:val="40557508"/>
    <w:rsid w:val="406D0AFB"/>
    <w:rsid w:val="408B308D"/>
    <w:rsid w:val="408E16B7"/>
    <w:rsid w:val="40904440"/>
    <w:rsid w:val="40921615"/>
    <w:rsid w:val="40A444D2"/>
    <w:rsid w:val="40C140D6"/>
    <w:rsid w:val="40CB7B55"/>
    <w:rsid w:val="40E436BC"/>
    <w:rsid w:val="40EE4EC2"/>
    <w:rsid w:val="40FA4724"/>
    <w:rsid w:val="40FE2A00"/>
    <w:rsid w:val="41184F97"/>
    <w:rsid w:val="41211718"/>
    <w:rsid w:val="41255085"/>
    <w:rsid w:val="414113F7"/>
    <w:rsid w:val="41445DAB"/>
    <w:rsid w:val="4145220C"/>
    <w:rsid w:val="41511619"/>
    <w:rsid w:val="415354FE"/>
    <w:rsid w:val="416D22DC"/>
    <w:rsid w:val="418A0B0A"/>
    <w:rsid w:val="41BB6240"/>
    <w:rsid w:val="41E830D6"/>
    <w:rsid w:val="41E87133"/>
    <w:rsid w:val="41F65669"/>
    <w:rsid w:val="42036D90"/>
    <w:rsid w:val="4209006E"/>
    <w:rsid w:val="42173799"/>
    <w:rsid w:val="421F1EA2"/>
    <w:rsid w:val="4237240B"/>
    <w:rsid w:val="424A02A3"/>
    <w:rsid w:val="427C3E4A"/>
    <w:rsid w:val="42A029E4"/>
    <w:rsid w:val="42A167CE"/>
    <w:rsid w:val="42A7728F"/>
    <w:rsid w:val="42BA51C4"/>
    <w:rsid w:val="42C064D8"/>
    <w:rsid w:val="42C259C5"/>
    <w:rsid w:val="42F05F6E"/>
    <w:rsid w:val="42FE3A3D"/>
    <w:rsid w:val="43025EE6"/>
    <w:rsid w:val="432E30D2"/>
    <w:rsid w:val="436F23DC"/>
    <w:rsid w:val="439161F0"/>
    <w:rsid w:val="43BE51C5"/>
    <w:rsid w:val="43CC7F98"/>
    <w:rsid w:val="43D66387"/>
    <w:rsid w:val="43E368BA"/>
    <w:rsid w:val="43FB646C"/>
    <w:rsid w:val="44310714"/>
    <w:rsid w:val="4450473B"/>
    <w:rsid w:val="445B16D8"/>
    <w:rsid w:val="445C44D1"/>
    <w:rsid w:val="44735172"/>
    <w:rsid w:val="447A51FC"/>
    <w:rsid w:val="447D7463"/>
    <w:rsid w:val="44904968"/>
    <w:rsid w:val="449556D3"/>
    <w:rsid w:val="44991174"/>
    <w:rsid w:val="44992136"/>
    <w:rsid w:val="44A83AF8"/>
    <w:rsid w:val="44AD4585"/>
    <w:rsid w:val="44C8250C"/>
    <w:rsid w:val="44C840CF"/>
    <w:rsid w:val="44CC47B0"/>
    <w:rsid w:val="44CF365C"/>
    <w:rsid w:val="44D92F4A"/>
    <w:rsid w:val="44E6536C"/>
    <w:rsid w:val="454102F5"/>
    <w:rsid w:val="454E62EA"/>
    <w:rsid w:val="45626E34"/>
    <w:rsid w:val="457134E7"/>
    <w:rsid w:val="458E7405"/>
    <w:rsid w:val="45B84D1A"/>
    <w:rsid w:val="45C858BA"/>
    <w:rsid w:val="45FE1571"/>
    <w:rsid w:val="46215ED0"/>
    <w:rsid w:val="466460EA"/>
    <w:rsid w:val="466E4E37"/>
    <w:rsid w:val="468274B8"/>
    <w:rsid w:val="469F20F6"/>
    <w:rsid w:val="469F96C8"/>
    <w:rsid w:val="46A3209A"/>
    <w:rsid w:val="46AA2409"/>
    <w:rsid w:val="46EF05D5"/>
    <w:rsid w:val="47477AA7"/>
    <w:rsid w:val="476302EE"/>
    <w:rsid w:val="476A2167"/>
    <w:rsid w:val="476D6F21"/>
    <w:rsid w:val="478F38F7"/>
    <w:rsid w:val="47946F18"/>
    <w:rsid w:val="47A675A3"/>
    <w:rsid w:val="47AE6AB5"/>
    <w:rsid w:val="47B84355"/>
    <w:rsid w:val="47CB5A8A"/>
    <w:rsid w:val="47D67DAA"/>
    <w:rsid w:val="47F4596B"/>
    <w:rsid w:val="480227C2"/>
    <w:rsid w:val="48122B8F"/>
    <w:rsid w:val="48177140"/>
    <w:rsid w:val="481E40AE"/>
    <w:rsid w:val="48407B9E"/>
    <w:rsid w:val="4854499F"/>
    <w:rsid w:val="48674D6A"/>
    <w:rsid w:val="48694575"/>
    <w:rsid w:val="487A5D42"/>
    <w:rsid w:val="488F7E67"/>
    <w:rsid w:val="489351CB"/>
    <w:rsid w:val="489764F6"/>
    <w:rsid w:val="48B43479"/>
    <w:rsid w:val="48C60324"/>
    <w:rsid w:val="490157AF"/>
    <w:rsid w:val="4915283B"/>
    <w:rsid w:val="491E6706"/>
    <w:rsid w:val="492E7DCA"/>
    <w:rsid w:val="49431065"/>
    <w:rsid w:val="494C7C01"/>
    <w:rsid w:val="49527B5D"/>
    <w:rsid w:val="498B7785"/>
    <w:rsid w:val="499402F5"/>
    <w:rsid w:val="49946AD2"/>
    <w:rsid w:val="49966E1C"/>
    <w:rsid w:val="49A27919"/>
    <w:rsid w:val="49A44322"/>
    <w:rsid w:val="49AA2D68"/>
    <w:rsid w:val="49B05801"/>
    <w:rsid w:val="49E329D9"/>
    <w:rsid w:val="49E93AD8"/>
    <w:rsid w:val="4A6F4B32"/>
    <w:rsid w:val="4A7E4D15"/>
    <w:rsid w:val="4A880858"/>
    <w:rsid w:val="4A953B86"/>
    <w:rsid w:val="4A9E55F1"/>
    <w:rsid w:val="4AB73165"/>
    <w:rsid w:val="4ACF54FD"/>
    <w:rsid w:val="4AE4697D"/>
    <w:rsid w:val="4B041A20"/>
    <w:rsid w:val="4B1C3B20"/>
    <w:rsid w:val="4B1F5CAF"/>
    <w:rsid w:val="4B45540C"/>
    <w:rsid w:val="4B623F4D"/>
    <w:rsid w:val="4B703CAF"/>
    <w:rsid w:val="4B7345F2"/>
    <w:rsid w:val="4B80122A"/>
    <w:rsid w:val="4B927B3B"/>
    <w:rsid w:val="4B955C71"/>
    <w:rsid w:val="4BB149AF"/>
    <w:rsid w:val="4BB97ADF"/>
    <w:rsid w:val="4BC61240"/>
    <w:rsid w:val="4BCA0F5A"/>
    <w:rsid w:val="4BE20100"/>
    <w:rsid w:val="4BFD1D49"/>
    <w:rsid w:val="4C027C7C"/>
    <w:rsid w:val="4C14415E"/>
    <w:rsid w:val="4C4A4927"/>
    <w:rsid w:val="4C5568A2"/>
    <w:rsid w:val="4C765881"/>
    <w:rsid w:val="4C784DC4"/>
    <w:rsid w:val="4C7C7510"/>
    <w:rsid w:val="4C822EF7"/>
    <w:rsid w:val="4CA24A16"/>
    <w:rsid w:val="4CA54180"/>
    <w:rsid w:val="4CC852E2"/>
    <w:rsid w:val="4CD25546"/>
    <w:rsid w:val="4CF428C1"/>
    <w:rsid w:val="4CFD4197"/>
    <w:rsid w:val="4D5C2720"/>
    <w:rsid w:val="4D6D74E2"/>
    <w:rsid w:val="4D6F4981"/>
    <w:rsid w:val="4D6F581F"/>
    <w:rsid w:val="4DA14D91"/>
    <w:rsid w:val="4DC5401E"/>
    <w:rsid w:val="4DE74601"/>
    <w:rsid w:val="4DE74A09"/>
    <w:rsid w:val="4DF12384"/>
    <w:rsid w:val="4E2931A1"/>
    <w:rsid w:val="4E2B163F"/>
    <w:rsid w:val="4E300DFA"/>
    <w:rsid w:val="4E386E68"/>
    <w:rsid w:val="4E447A9E"/>
    <w:rsid w:val="4E501814"/>
    <w:rsid w:val="4E5113C7"/>
    <w:rsid w:val="4E591ADA"/>
    <w:rsid w:val="4E683675"/>
    <w:rsid w:val="4E6A5928"/>
    <w:rsid w:val="4E715C4F"/>
    <w:rsid w:val="4EA23381"/>
    <w:rsid w:val="4EB910AF"/>
    <w:rsid w:val="4EBE2B54"/>
    <w:rsid w:val="4EEA199C"/>
    <w:rsid w:val="4EF3637F"/>
    <w:rsid w:val="4EF71461"/>
    <w:rsid w:val="4F186FD1"/>
    <w:rsid w:val="4F1D0783"/>
    <w:rsid w:val="4F201AA3"/>
    <w:rsid w:val="4F4A220F"/>
    <w:rsid w:val="4F4F4CC1"/>
    <w:rsid w:val="4F5704DD"/>
    <w:rsid w:val="4F7A2631"/>
    <w:rsid w:val="4F8323C1"/>
    <w:rsid w:val="4F91233B"/>
    <w:rsid w:val="4FA83AA0"/>
    <w:rsid w:val="4FCA4287"/>
    <w:rsid w:val="4FEA77D9"/>
    <w:rsid w:val="4FF34843"/>
    <w:rsid w:val="4FFA2B1B"/>
    <w:rsid w:val="501274EB"/>
    <w:rsid w:val="50155CBB"/>
    <w:rsid w:val="50301208"/>
    <w:rsid w:val="50553787"/>
    <w:rsid w:val="506E485A"/>
    <w:rsid w:val="50720CD9"/>
    <w:rsid w:val="50963E0D"/>
    <w:rsid w:val="509B7545"/>
    <w:rsid w:val="50A20C4B"/>
    <w:rsid w:val="50C85670"/>
    <w:rsid w:val="50D77C38"/>
    <w:rsid w:val="50E4172C"/>
    <w:rsid w:val="50EF00D3"/>
    <w:rsid w:val="51073FBE"/>
    <w:rsid w:val="51124A05"/>
    <w:rsid w:val="5132199C"/>
    <w:rsid w:val="51364171"/>
    <w:rsid w:val="513B753F"/>
    <w:rsid w:val="514127C1"/>
    <w:rsid w:val="515751E0"/>
    <w:rsid w:val="515A69AE"/>
    <w:rsid w:val="515D21DD"/>
    <w:rsid w:val="518A2F4E"/>
    <w:rsid w:val="51942C84"/>
    <w:rsid w:val="51983007"/>
    <w:rsid w:val="51C1661C"/>
    <w:rsid w:val="51D35494"/>
    <w:rsid w:val="51DBD7A4"/>
    <w:rsid w:val="51E91FC8"/>
    <w:rsid w:val="524D43EA"/>
    <w:rsid w:val="524E333B"/>
    <w:rsid w:val="52524FC0"/>
    <w:rsid w:val="526678BD"/>
    <w:rsid w:val="528313AD"/>
    <w:rsid w:val="52867FE4"/>
    <w:rsid w:val="528F260F"/>
    <w:rsid w:val="52A374ED"/>
    <w:rsid w:val="52B12A4F"/>
    <w:rsid w:val="52B22F06"/>
    <w:rsid w:val="52C34FBB"/>
    <w:rsid w:val="530B3CDC"/>
    <w:rsid w:val="53105234"/>
    <w:rsid w:val="533F392E"/>
    <w:rsid w:val="53571D29"/>
    <w:rsid w:val="535F6D1D"/>
    <w:rsid w:val="537C5540"/>
    <w:rsid w:val="539310AC"/>
    <w:rsid w:val="53955384"/>
    <w:rsid w:val="539D37F2"/>
    <w:rsid w:val="53A30D2D"/>
    <w:rsid w:val="53A9047A"/>
    <w:rsid w:val="53AE7EE7"/>
    <w:rsid w:val="53B55898"/>
    <w:rsid w:val="53BE4D4E"/>
    <w:rsid w:val="53CA2AA4"/>
    <w:rsid w:val="53CA3493"/>
    <w:rsid w:val="53DD2388"/>
    <w:rsid w:val="53EB2DAF"/>
    <w:rsid w:val="53F91455"/>
    <w:rsid w:val="54042C6B"/>
    <w:rsid w:val="541B0BD0"/>
    <w:rsid w:val="54431AEF"/>
    <w:rsid w:val="545A1BCC"/>
    <w:rsid w:val="546E1249"/>
    <w:rsid w:val="546F5C39"/>
    <w:rsid w:val="54A557F7"/>
    <w:rsid w:val="54C105DF"/>
    <w:rsid w:val="54D72F1C"/>
    <w:rsid w:val="54D97421"/>
    <w:rsid w:val="54EE1CBE"/>
    <w:rsid w:val="550713F6"/>
    <w:rsid w:val="5515750C"/>
    <w:rsid w:val="553346F8"/>
    <w:rsid w:val="553955B6"/>
    <w:rsid w:val="553FB2BF"/>
    <w:rsid w:val="55413010"/>
    <w:rsid w:val="55720D5D"/>
    <w:rsid w:val="557505CC"/>
    <w:rsid w:val="558B0990"/>
    <w:rsid w:val="55B72066"/>
    <w:rsid w:val="55BC4ADE"/>
    <w:rsid w:val="55BF3F04"/>
    <w:rsid w:val="55F158B5"/>
    <w:rsid w:val="55F23316"/>
    <w:rsid w:val="561B3F83"/>
    <w:rsid w:val="562C6904"/>
    <w:rsid w:val="56345E89"/>
    <w:rsid w:val="563B49DE"/>
    <w:rsid w:val="567E7537"/>
    <w:rsid w:val="56AF5233"/>
    <w:rsid w:val="56C17A6D"/>
    <w:rsid w:val="56CE5DF2"/>
    <w:rsid w:val="56D82802"/>
    <w:rsid w:val="56E67A3F"/>
    <w:rsid w:val="57341109"/>
    <w:rsid w:val="57702D95"/>
    <w:rsid w:val="577E4D19"/>
    <w:rsid w:val="579D1927"/>
    <w:rsid w:val="57AE2ABF"/>
    <w:rsid w:val="57D43485"/>
    <w:rsid w:val="57E3D26E"/>
    <w:rsid w:val="57EB790E"/>
    <w:rsid w:val="57F47E70"/>
    <w:rsid w:val="58105A54"/>
    <w:rsid w:val="5811317C"/>
    <w:rsid w:val="58585CF8"/>
    <w:rsid w:val="586E24CD"/>
    <w:rsid w:val="587609C3"/>
    <w:rsid w:val="589C059D"/>
    <w:rsid w:val="589F3FA1"/>
    <w:rsid w:val="58A603DD"/>
    <w:rsid w:val="58B91CF4"/>
    <w:rsid w:val="58EA4D3C"/>
    <w:rsid w:val="59000F21"/>
    <w:rsid w:val="59057F0A"/>
    <w:rsid w:val="591104DD"/>
    <w:rsid w:val="5911611F"/>
    <w:rsid w:val="5924024C"/>
    <w:rsid w:val="59290033"/>
    <w:rsid w:val="592C22C1"/>
    <w:rsid w:val="593D783E"/>
    <w:rsid w:val="59431BF9"/>
    <w:rsid w:val="59592B2D"/>
    <w:rsid w:val="596F0336"/>
    <w:rsid w:val="597C273D"/>
    <w:rsid w:val="5985632F"/>
    <w:rsid w:val="59896BE4"/>
    <w:rsid w:val="598F3700"/>
    <w:rsid w:val="59A1399C"/>
    <w:rsid w:val="59A54EF9"/>
    <w:rsid w:val="59D5769E"/>
    <w:rsid w:val="59DDA142"/>
    <w:rsid w:val="59DE6965"/>
    <w:rsid w:val="5A0C221D"/>
    <w:rsid w:val="5A17198E"/>
    <w:rsid w:val="5A60199E"/>
    <w:rsid w:val="5A770F99"/>
    <w:rsid w:val="5A977309"/>
    <w:rsid w:val="5AA141E5"/>
    <w:rsid w:val="5AC3119B"/>
    <w:rsid w:val="5ACE14CE"/>
    <w:rsid w:val="5AF62087"/>
    <w:rsid w:val="5B0A71F8"/>
    <w:rsid w:val="5B141CDF"/>
    <w:rsid w:val="5B20255D"/>
    <w:rsid w:val="5B8520F1"/>
    <w:rsid w:val="5B915C1C"/>
    <w:rsid w:val="5BBF16F2"/>
    <w:rsid w:val="5BC97405"/>
    <w:rsid w:val="5C2904D4"/>
    <w:rsid w:val="5C4217B6"/>
    <w:rsid w:val="5C486D48"/>
    <w:rsid w:val="5C61118F"/>
    <w:rsid w:val="5C673BBC"/>
    <w:rsid w:val="5C740962"/>
    <w:rsid w:val="5C7607B7"/>
    <w:rsid w:val="5C782145"/>
    <w:rsid w:val="5C7D4DB8"/>
    <w:rsid w:val="5C814290"/>
    <w:rsid w:val="5C870B1C"/>
    <w:rsid w:val="5C9D5D25"/>
    <w:rsid w:val="5CA75A9F"/>
    <w:rsid w:val="5CBC1431"/>
    <w:rsid w:val="5CD47559"/>
    <w:rsid w:val="5CE9651D"/>
    <w:rsid w:val="5CF57497"/>
    <w:rsid w:val="5D235E02"/>
    <w:rsid w:val="5D2367F4"/>
    <w:rsid w:val="5D337E8F"/>
    <w:rsid w:val="5D3500DB"/>
    <w:rsid w:val="5D3F7C76"/>
    <w:rsid w:val="5D7048D2"/>
    <w:rsid w:val="5D8757B3"/>
    <w:rsid w:val="5D9744F4"/>
    <w:rsid w:val="5DD15DE4"/>
    <w:rsid w:val="5DD53653"/>
    <w:rsid w:val="5DEB12A6"/>
    <w:rsid w:val="5DEB7E1C"/>
    <w:rsid w:val="5DED7E5F"/>
    <w:rsid w:val="5DF264B2"/>
    <w:rsid w:val="5DF6775F"/>
    <w:rsid w:val="5DFE30A3"/>
    <w:rsid w:val="5E5269CB"/>
    <w:rsid w:val="5E6B60C0"/>
    <w:rsid w:val="5E7634A3"/>
    <w:rsid w:val="5E832DF1"/>
    <w:rsid w:val="5E8A38CD"/>
    <w:rsid w:val="5E8D46E2"/>
    <w:rsid w:val="5E9C3B9E"/>
    <w:rsid w:val="5EAB4A43"/>
    <w:rsid w:val="5EB748C3"/>
    <w:rsid w:val="5EC51D82"/>
    <w:rsid w:val="5ECA6FB2"/>
    <w:rsid w:val="5ECB374F"/>
    <w:rsid w:val="5EE41227"/>
    <w:rsid w:val="5EEF2A42"/>
    <w:rsid w:val="5EF68ACB"/>
    <w:rsid w:val="5EFA1837"/>
    <w:rsid w:val="5EFFB7E9"/>
    <w:rsid w:val="5F12757A"/>
    <w:rsid w:val="5F255898"/>
    <w:rsid w:val="5F360FE7"/>
    <w:rsid w:val="5F5E405E"/>
    <w:rsid w:val="5F675EF0"/>
    <w:rsid w:val="5F6A04D9"/>
    <w:rsid w:val="5F6E2843"/>
    <w:rsid w:val="5F701C6C"/>
    <w:rsid w:val="5F803402"/>
    <w:rsid w:val="5F8EA40D"/>
    <w:rsid w:val="5F961621"/>
    <w:rsid w:val="5FA6466F"/>
    <w:rsid w:val="5FAFC12F"/>
    <w:rsid w:val="5FBA387A"/>
    <w:rsid w:val="5FD74BE4"/>
    <w:rsid w:val="5FDDEA7A"/>
    <w:rsid w:val="5FE741E1"/>
    <w:rsid w:val="5FFB043C"/>
    <w:rsid w:val="60185847"/>
    <w:rsid w:val="601A04BD"/>
    <w:rsid w:val="60316655"/>
    <w:rsid w:val="603A339B"/>
    <w:rsid w:val="606818A9"/>
    <w:rsid w:val="60775F56"/>
    <w:rsid w:val="60784AED"/>
    <w:rsid w:val="608E5BD8"/>
    <w:rsid w:val="60935AB1"/>
    <w:rsid w:val="60A131F9"/>
    <w:rsid w:val="60A4796E"/>
    <w:rsid w:val="60BA3498"/>
    <w:rsid w:val="60BC721D"/>
    <w:rsid w:val="60EE35D6"/>
    <w:rsid w:val="60F4085C"/>
    <w:rsid w:val="61016911"/>
    <w:rsid w:val="611F4832"/>
    <w:rsid w:val="61243F78"/>
    <w:rsid w:val="61254BA5"/>
    <w:rsid w:val="61265FFE"/>
    <w:rsid w:val="613504A5"/>
    <w:rsid w:val="614C6C19"/>
    <w:rsid w:val="614D68E4"/>
    <w:rsid w:val="61A44E6D"/>
    <w:rsid w:val="61B610A9"/>
    <w:rsid w:val="61D0130F"/>
    <w:rsid w:val="61D633FC"/>
    <w:rsid w:val="61EC0DB5"/>
    <w:rsid w:val="62064E19"/>
    <w:rsid w:val="621B746B"/>
    <w:rsid w:val="621F7315"/>
    <w:rsid w:val="62374ED0"/>
    <w:rsid w:val="62406F08"/>
    <w:rsid w:val="62426DCC"/>
    <w:rsid w:val="62483F9A"/>
    <w:rsid w:val="62574C0C"/>
    <w:rsid w:val="627E1C57"/>
    <w:rsid w:val="62C435B1"/>
    <w:rsid w:val="62E12EFC"/>
    <w:rsid w:val="630F4D6E"/>
    <w:rsid w:val="632D5E9F"/>
    <w:rsid w:val="63490E03"/>
    <w:rsid w:val="634F06D4"/>
    <w:rsid w:val="63602D9A"/>
    <w:rsid w:val="63931875"/>
    <w:rsid w:val="63A45A1F"/>
    <w:rsid w:val="63AE5025"/>
    <w:rsid w:val="63D85036"/>
    <w:rsid w:val="63FCB0C1"/>
    <w:rsid w:val="63FD4BB5"/>
    <w:rsid w:val="640A1109"/>
    <w:rsid w:val="6412531D"/>
    <w:rsid w:val="64224E10"/>
    <w:rsid w:val="64273C11"/>
    <w:rsid w:val="6430681B"/>
    <w:rsid w:val="6447209D"/>
    <w:rsid w:val="644D642B"/>
    <w:rsid w:val="6453241C"/>
    <w:rsid w:val="649C589B"/>
    <w:rsid w:val="64AF32C8"/>
    <w:rsid w:val="64B35469"/>
    <w:rsid w:val="64D96B1E"/>
    <w:rsid w:val="64DA4B3D"/>
    <w:rsid w:val="64EA5A78"/>
    <w:rsid w:val="64F535D9"/>
    <w:rsid w:val="652515AA"/>
    <w:rsid w:val="652D7AA3"/>
    <w:rsid w:val="656979ED"/>
    <w:rsid w:val="659B69D1"/>
    <w:rsid w:val="659E0F27"/>
    <w:rsid w:val="65A736B2"/>
    <w:rsid w:val="65D12FC0"/>
    <w:rsid w:val="65D42FDD"/>
    <w:rsid w:val="65DD1FB2"/>
    <w:rsid w:val="65E02EF1"/>
    <w:rsid w:val="65E20E5D"/>
    <w:rsid w:val="65F95728"/>
    <w:rsid w:val="660A252E"/>
    <w:rsid w:val="6615498F"/>
    <w:rsid w:val="66246349"/>
    <w:rsid w:val="662F02B4"/>
    <w:rsid w:val="663D575D"/>
    <w:rsid w:val="666066D7"/>
    <w:rsid w:val="66642147"/>
    <w:rsid w:val="668F2CC9"/>
    <w:rsid w:val="6697371A"/>
    <w:rsid w:val="66A71BB3"/>
    <w:rsid w:val="66C60425"/>
    <w:rsid w:val="66C76EC9"/>
    <w:rsid w:val="66CB5F39"/>
    <w:rsid w:val="671F0061"/>
    <w:rsid w:val="673A3686"/>
    <w:rsid w:val="67494C25"/>
    <w:rsid w:val="675A2336"/>
    <w:rsid w:val="675D2E46"/>
    <w:rsid w:val="67776755"/>
    <w:rsid w:val="6787464C"/>
    <w:rsid w:val="67A547F3"/>
    <w:rsid w:val="67AB1EBF"/>
    <w:rsid w:val="67B36EDE"/>
    <w:rsid w:val="67BFE496"/>
    <w:rsid w:val="67DD67DA"/>
    <w:rsid w:val="67DF6C36"/>
    <w:rsid w:val="67E202AB"/>
    <w:rsid w:val="67E94DF0"/>
    <w:rsid w:val="67ED2C10"/>
    <w:rsid w:val="67EF5ED5"/>
    <w:rsid w:val="67FBA5A2"/>
    <w:rsid w:val="681B376B"/>
    <w:rsid w:val="68275F65"/>
    <w:rsid w:val="683C61C1"/>
    <w:rsid w:val="686F65DC"/>
    <w:rsid w:val="68707F0C"/>
    <w:rsid w:val="687A0CA1"/>
    <w:rsid w:val="689D449F"/>
    <w:rsid w:val="68A56C16"/>
    <w:rsid w:val="68B1109A"/>
    <w:rsid w:val="68BA28C2"/>
    <w:rsid w:val="69050471"/>
    <w:rsid w:val="69361BE4"/>
    <w:rsid w:val="694604BA"/>
    <w:rsid w:val="69477647"/>
    <w:rsid w:val="695D75AE"/>
    <w:rsid w:val="69642D9E"/>
    <w:rsid w:val="697855F8"/>
    <w:rsid w:val="698E73B5"/>
    <w:rsid w:val="699A1AB6"/>
    <w:rsid w:val="69B700C3"/>
    <w:rsid w:val="69C139C1"/>
    <w:rsid w:val="69F53E11"/>
    <w:rsid w:val="6A046E5F"/>
    <w:rsid w:val="6A0858B0"/>
    <w:rsid w:val="6A2467A4"/>
    <w:rsid w:val="6A285A34"/>
    <w:rsid w:val="6A3B00C3"/>
    <w:rsid w:val="6A4F38E0"/>
    <w:rsid w:val="6A555074"/>
    <w:rsid w:val="6A5756BF"/>
    <w:rsid w:val="6A902129"/>
    <w:rsid w:val="6AC837E2"/>
    <w:rsid w:val="6ACC4E35"/>
    <w:rsid w:val="6ADB0506"/>
    <w:rsid w:val="6AFF6AD0"/>
    <w:rsid w:val="6B036FB4"/>
    <w:rsid w:val="6B0D5015"/>
    <w:rsid w:val="6B1A6EB6"/>
    <w:rsid w:val="6B2919CA"/>
    <w:rsid w:val="6B2F01AE"/>
    <w:rsid w:val="6B376CB7"/>
    <w:rsid w:val="6B417487"/>
    <w:rsid w:val="6B4D1345"/>
    <w:rsid w:val="6B4F58F8"/>
    <w:rsid w:val="6B5938F7"/>
    <w:rsid w:val="6B5F5C39"/>
    <w:rsid w:val="6B70291C"/>
    <w:rsid w:val="6B735D40"/>
    <w:rsid w:val="6B7E1F49"/>
    <w:rsid w:val="6B843FE8"/>
    <w:rsid w:val="6B985EB7"/>
    <w:rsid w:val="6BBFB2B4"/>
    <w:rsid w:val="6BD43073"/>
    <w:rsid w:val="6BDA1DAE"/>
    <w:rsid w:val="6C0215E2"/>
    <w:rsid w:val="6C214892"/>
    <w:rsid w:val="6C2D449F"/>
    <w:rsid w:val="6C357CB0"/>
    <w:rsid w:val="6C453A38"/>
    <w:rsid w:val="6C511CAE"/>
    <w:rsid w:val="6C6D66B6"/>
    <w:rsid w:val="6C794DCC"/>
    <w:rsid w:val="6C7F76CA"/>
    <w:rsid w:val="6C943627"/>
    <w:rsid w:val="6CD27B79"/>
    <w:rsid w:val="6CDB136A"/>
    <w:rsid w:val="6CE22120"/>
    <w:rsid w:val="6D146DA4"/>
    <w:rsid w:val="6D296AA6"/>
    <w:rsid w:val="6D346C3C"/>
    <w:rsid w:val="6D400EC2"/>
    <w:rsid w:val="6D5839AF"/>
    <w:rsid w:val="6D5D7BC8"/>
    <w:rsid w:val="6D733684"/>
    <w:rsid w:val="6D765467"/>
    <w:rsid w:val="6D8D32DD"/>
    <w:rsid w:val="6D930722"/>
    <w:rsid w:val="6D935293"/>
    <w:rsid w:val="6D993DDA"/>
    <w:rsid w:val="6D9E64F3"/>
    <w:rsid w:val="6DA37726"/>
    <w:rsid w:val="6DF73FC4"/>
    <w:rsid w:val="6DFF63F5"/>
    <w:rsid w:val="6E1029D4"/>
    <w:rsid w:val="6E41695B"/>
    <w:rsid w:val="6E4532B2"/>
    <w:rsid w:val="6E535F7E"/>
    <w:rsid w:val="6E710F61"/>
    <w:rsid w:val="6E8F2C3D"/>
    <w:rsid w:val="6E9E4143"/>
    <w:rsid w:val="6EBA505D"/>
    <w:rsid w:val="6EC27533"/>
    <w:rsid w:val="6ECB27BE"/>
    <w:rsid w:val="6ED46039"/>
    <w:rsid w:val="6EE21531"/>
    <w:rsid w:val="6EEEF6AF"/>
    <w:rsid w:val="6F110296"/>
    <w:rsid w:val="6F153684"/>
    <w:rsid w:val="6F154991"/>
    <w:rsid w:val="6F19511B"/>
    <w:rsid w:val="6F2D6C40"/>
    <w:rsid w:val="6F326B61"/>
    <w:rsid w:val="6F5C2011"/>
    <w:rsid w:val="6F731299"/>
    <w:rsid w:val="6F7FFED1"/>
    <w:rsid w:val="6FA7727B"/>
    <w:rsid w:val="6FAC147D"/>
    <w:rsid w:val="6FBC77DE"/>
    <w:rsid w:val="6FC5395C"/>
    <w:rsid w:val="6FD9CCBC"/>
    <w:rsid w:val="6FDD6724"/>
    <w:rsid w:val="6FDE7D30"/>
    <w:rsid w:val="6FE93124"/>
    <w:rsid w:val="6FF94825"/>
    <w:rsid w:val="6FFDDF5F"/>
    <w:rsid w:val="6FFFC39C"/>
    <w:rsid w:val="7021532F"/>
    <w:rsid w:val="702D4FA3"/>
    <w:rsid w:val="705503A9"/>
    <w:rsid w:val="708D0394"/>
    <w:rsid w:val="708E6DB3"/>
    <w:rsid w:val="70B458EB"/>
    <w:rsid w:val="70BA01CD"/>
    <w:rsid w:val="70DE3337"/>
    <w:rsid w:val="710E2DCA"/>
    <w:rsid w:val="7113581D"/>
    <w:rsid w:val="71180633"/>
    <w:rsid w:val="71257182"/>
    <w:rsid w:val="715C42E2"/>
    <w:rsid w:val="716E1D12"/>
    <w:rsid w:val="71875012"/>
    <w:rsid w:val="719A7BA0"/>
    <w:rsid w:val="71C15954"/>
    <w:rsid w:val="71C32F78"/>
    <w:rsid w:val="71CC6E92"/>
    <w:rsid w:val="71ED3C80"/>
    <w:rsid w:val="71F67A4B"/>
    <w:rsid w:val="7219706E"/>
    <w:rsid w:val="72485E5F"/>
    <w:rsid w:val="726B0093"/>
    <w:rsid w:val="727718A7"/>
    <w:rsid w:val="728E11CC"/>
    <w:rsid w:val="729530C8"/>
    <w:rsid w:val="72991A13"/>
    <w:rsid w:val="72A4614C"/>
    <w:rsid w:val="72AA0C77"/>
    <w:rsid w:val="72AC53AB"/>
    <w:rsid w:val="72F532DF"/>
    <w:rsid w:val="72FECE00"/>
    <w:rsid w:val="734906A6"/>
    <w:rsid w:val="73521C55"/>
    <w:rsid w:val="735C4DE2"/>
    <w:rsid w:val="73614472"/>
    <w:rsid w:val="736B2CDC"/>
    <w:rsid w:val="738E3400"/>
    <w:rsid w:val="739E3525"/>
    <w:rsid w:val="73B15B5C"/>
    <w:rsid w:val="73B276F1"/>
    <w:rsid w:val="73C06E3F"/>
    <w:rsid w:val="73C60448"/>
    <w:rsid w:val="73C967B8"/>
    <w:rsid w:val="740D59FD"/>
    <w:rsid w:val="74160C95"/>
    <w:rsid w:val="741761CD"/>
    <w:rsid w:val="74436D2E"/>
    <w:rsid w:val="747E1F86"/>
    <w:rsid w:val="74AD4F99"/>
    <w:rsid w:val="74BA6F1F"/>
    <w:rsid w:val="74CC6AAA"/>
    <w:rsid w:val="74DD4DA6"/>
    <w:rsid w:val="74E633A6"/>
    <w:rsid w:val="74EF66FB"/>
    <w:rsid w:val="7506669F"/>
    <w:rsid w:val="752E2F45"/>
    <w:rsid w:val="75316B51"/>
    <w:rsid w:val="755C645C"/>
    <w:rsid w:val="7572F37C"/>
    <w:rsid w:val="758477D9"/>
    <w:rsid w:val="75A02BC9"/>
    <w:rsid w:val="75B43965"/>
    <w:rsid w:val="75BD131B"/>
    <w:rsid w:val="75CB79A1"/>
    <w:rsid w:val="75CF4706"/>
    <w:rsid w:val="75FC0B8F"/>
    <w:rsid w:val="75FE1451"/>
    <w:rsid w:val="75FF4D0F"/>
    <w:rsid w:val="7604123E"/>
    <w:rsid w:val="761603BC"/>
    <w:rsid w:val="76316517"/>
    <w:rsid w:val="76395D53"/>
    <w:rsid w:val="768A3548"/>
    <w:rsid w:val="76913607"/>
    <w:rsid w:val="76996FAF"/>
    <w:rsid w:val="769FC9D2"/>
    <w:rsid w:val="76A61510"/>
    <w:rsid w:val="76BF5702"/>
    <w:rsid w:val="76C31608"/>
    <w:rsid w:val="76C4114C"/>
    <w:rsid w:val="76C573F0"/>
    <w:rsid w:val="76D403DE"/>
    <w:rsid w:val="76D63C77"/>
    <w:rsid w:val="76DF561B"/>
    <w:rsid w:val="76E67B1C"/>
    <w:rsid w:val="76F267B7"/>
    <w:rsid w:val="76F5771B"/>
    <w:rsid w:val="770232B4"/>
    <w:rsid w:val="77103A67"/>
    <w:rsid w:val="7717E512"/>
    <w:rsid w:val="772811C2"/>
    <w:rsid w:val="773A5B22"/>
    <w:rsid w:val="77534410"/>
    <w:rsid w:val="776745D2"/>
    <w:rsid w:val="7773D592"/>
    <w:rsid w:val="77AA18D0"/>
    <w:rsid w:val="77CB11EF"/>
    <w:rsid w:val="77DF388D"/>
    <w:rsid w:val="77E91755"/>
    <w:rsid w:val="77F766ED"/>
    <w:rsid w:val="77F9E558"/>
    <w:rsid w:val="77FF10BF"/>
    <w:rsid w:val="78013A97"/>
    <w:rsid w:val="78023EAE"/>
    <w:rsid w:val="7805043F"/>
    <w:rsid w:val="780D0109"/>
    <w:rsid w:val="78136C9F"/>
    <w:rsid w:val="78207B32"/>
    <w:rsid w:val="7828226C"/>
    <w:rsid w:val="785070DA"/>
    <w:rsid w:val="78547BE0"/>
    <w:rsid w:val="78575D77"/>
    <w:rsid w:val="78586516"/>
    <w:rsid w:val="786276CC"/>
    <w:rsid w:val="786659C9"/>
    <w:rsid w:val="78B166DB"/>
    <w:rsid w:val="78C274F1"/>
    <w:rsid w:val="78C51482"/>
    <w:rsid w:val="78D134D0"/>
    <w:rsid w:val="78E67EAA"/>
    <w:rsid w:val="78E8752E"/>
    <w:rsid w:val="78F24F23"/>
    <w:rsid w:val="78F35B4D"/>
    <w:rsid w:val="790E1B66"/>
    <w:rsid w:val="793045F9"/>
    <w:rsid w:val="793EACF2"/>
    <w:rsid w:val="79412963"/>
    <w:rsid w:val="7945261D"/>
    <w:rsid w:val="797D1E12"/>
    <w:rsid w:val="799507DE"/>
    <w:rsid w:val="799A080A"/>
    <w:rsid w:val="79AC20C5"/>
    <w:rsid w:val="79BB4C91"/>
    <w:rsid w:val="79C0060D"/>
    <w:rsid w:val="79D3632F"/>
    <w:rsid w:val="79D90FA7"/>
    <w:rsid w:val="79DD3327"/>
    <w:rsid w:val="79E36188"/>
    <w:rsid w:val="79E958E0"/>
    <w:rsid w:val="79F94066"/>
    <w:rsid w:val="7A34626C"/>
    <w:rsid w:val="7A3919D3"/>
    <w:rsid w:val="7A6C5C62"/>
    <w:rsid w:val="7AEF668A"/>
    <w:rsid w:val="7AFF5740"/>
    <w:rsid w:val="7B300B90"/>
    <w:rsid w:val="7B330AE8"/>
    <w:rsid w:val="7B491082"/>
    <w:rsid w:val="7B5C4DDD"/>
    <w:rsid w:val="7B5C62CF"/>
    <w:rsid w:val="7B7253B7"/>
    <w:rsid w:val="7B8611FE"/>
    <w:rsid w:val="7BA62AB2"/>
    <w:rsid w:val="7BB97F90"/>
    <w:rsid w:val="7BBB9328"/>
    <w:rsid w:val="7BC14C96"/>
    <w:rsid w:val="7BCB4C28"/>
    <w:rsid w:val="7BD20B5D"/>
    <w:rsid w:val="7BDFACDD"/>
    <w:rsid w:val="7BE57376"/>
    <w:rsid w:val="7BE60CBB"/>
    <w:rsid w:val="7BEEF65C"/>
    <w:rsid w:val="7C037196"/>
    <w:rsid w:val="7C10453F"/>
    <w:rsid w:val="7C193CE7"/>
    <w:rsid w:val="7C1A7D5E"/>
    <w:rsid w:val="7C2D3DE9"/>
    <w:rsid w:val="7C3863D4"/>
    <w:rsid w:val="7C3F198F"/>
    <w:rsid w:val="7C4D1FCE"/>
    <w:rsid w:val="7C557C22"/>
    <w:rsid w:val="7C834850"/>
    <w:rsid w:val="7C882B47"/>
    <w:rsid w:val="7CB16203"/>
    <w:rsid w:val="7CC35D04"/>
    <w:rsid w:val="7CE20A5A"/>
    <w:rsid w:val="7CEA57AC"/>
    <w:rsid w:val="7CEE37C9"/>
    <w:rsid w:val="7D125280"/>
    <w:rsid w:val="7D212555"/>
    <w:rsid w:val="7D2A0172"/>
    <w:rsid w:val="7D2F0C14"/>
    <w:rsid w:val="7D368DE0"/>
    <w:rsid w:val="7D647086"/>
    <w:rsid w:val="7D736749"/>
    <w:rsid w:val="7DAD61AF"/>
    <w:rsid w:val="7DAD765C"/>
    <w:rsid w:val="7DB7318A"/>
    <w:rsid w:val="7DB8033D"/>
    <w:rsid w:val="7DCB164B"/>
    <w:rsid w:val="7DCDBB91"/>
    <w:rsid w:val="7DEB2CCB"/>
    <w:rsid w:val="7DF15723"/>
    <w:rsid w:val="7E0958D9"/>
    <w:rsid w:val="7E0B1529"/>
    <w:rsid w:val="7E1214FE"/>
    <w:rsid w:val="7E182368"/>
    <w:rsid w:val="7E5C7222"/>
    <w:rsid w:val="7E5F18A4"/>
    <w:rsid w:val="7E7C79B1"/>
    <w:rsid w:val="7E8F6F13"/>
    <w:rsid w:val="7EBE5777"/>
    <w:rsid w:val="7EBFBEB1"/>
    <w:rsid w:val="7EF7F93D"/>
    <w:rsid w:val="7F007773"/>
    <w:rsid w:val="7F072E0E"/>
    <w:rsid w:val="7F390F0F"/>
    <w:rsid w:val="7F3F1A87"/>
    <w:rsid w:val="7F5E79A5"/>
    <w:rsid w:val="7F736B95"/>
    <w:rsid w:val="7F7BB687"/>
    <w:rsid w:val="7F7E483E"/>
    <w:rsid w:val="7F825EC6"/>
    <w:rsid w:val="7F8A754E"/>
    <w:rsid w:val="7F8E0E18"/>
    <w:rsid w:val="7F918BCD"/>
    <w:rsid w:val="7F978D9C"/>
    <w:rsid w:val="7F9D364D"/>
    <w:rsid w:val="7FAC27D7"/>
    <w:rsid w:val="7FBB7008"/>
    <w:rsid w:val="7FC565A9"/>
    <w:rsid w:val="7FD4691D"/>
    <w:rsid w:val="7FF104D6"/>
    <w:rsid w:val="7FFBEC2F"/>
    <w:rsid w:val="7FFE36F0"/>
    <w:rsid w:val="7FFF12AE"/>
    <w:rsid w:val="7FFFB57C"/>
    <w:rsid w:val="7FFFECCE"/>
    <w:rsid w:val="9D7DA4CD"/>
    <w:rsid w:val="9F27A84E"/>
    <w:rsid w:val="ABF7A4D5"/>
    <w:rsid w:val="AF6D4179"/>
    <w:rsid w:val="AF77D176"/>
    <w:rsid w:val="AFDD1565"/>
    <w:rsid w:val="B33BCB37"/>
    <w:rsid w:val="B97E2D6E"/>
    <w:rsid w:val="B9E9ED90"/>
    <w:rsid w:val="B9F7BE4C"/>
    <w:rsid w:val="BBB57524"/>
    <w:rsid w:val="BD7F8245"/>
    <w:rsid w:val="BEFFAA4D"/>
    <w:rsid w:val="BFBDEBCC"/>
    <w:rsid w:val="BFBFA70A"/>
    <w:rsid w:val="BFC34241"/>
    <w:rsid w:val="C5FFA356"/>
    <w:rsid w:val="C78E31FF"/>
    <w:rsid w:val="CBB5533D"/>
    <w:rsid w:val="CD5DFBB3"/>
    <w:rsid w:val="CEEFAA13"/>
    <w:rsid w:val="CF3EA45F"/>
    <w:rsid w:val="CFDB8A03"/>
    <w:rsid w:val="CFFFAB0C"/>
    <w:rsid w:val="D59581C5"/>
    <w:rsid w:val="D6FB496E"/>
    <w:rsid w:val="D6FBA13D"/>
    <w:rsid w:val="D775B0F9"/>
    <w:rsid w:val="D7DADD92"/>
    <w:rsid w:val="D9769990"/>
    <w:rsid w:val="D9D59A6E"/>
    <w:rsid w:val="D9DC598F"/>
    <w:rsid w:val="DAD5FA63"/>
    <w:rsid w:val="DAFFA192"/>
    <w:rsid w:val="DB27B626"/>
    <w:rsid w:val="DBBF6AC5"/>
    <w:rsid w:val="DCAB7DFE"/>
    <w:rsid w:val="DDF7467D"/>
    <w:rsid w:val="DE6F432F"/>
    <w:rsid w:val="DEF51FAE"/>
    <w:rsid w:val="DF3FB1BF"/>
    <w:rsid w:val="DF7FD985"/>
    <w:rsid w:val="DFBFAB5A"/>
    <w:rsid w:val="DFE4FF25"/>
    <w:rsid w:val="E18F0BD7"/>
    <w:rsid w:val="E5DF45D6"/>
    <w:rsid w:val="E7BF5648"/>
    <w:rsid w:val="EB19CF57"/>
    <w:rsid w:val="ECBFCDD7"/>
    <w:rsid w:val="ECFA53A6"/>
    <w:rsid w:val="ED7DBA58"/>
    <w:rsid w:val="EDF7284B"/>
    <w:rsid w:val="EEEAB000"/>
    <w:rsid w:val="EEEB5E00"/>
    <w:rsid w:val="EEF738A8"/>
    <w:rsid w:val="EEFFC697"/>
    <w:rsid w:val="EF7B9EFC"/>
    <w:rsid w:val="EFBBF005"/>
    <w:rsid w:val="EFCFA47E"/>
    <w:rsid w:val="EFDB64F8"/>
    <w:rsid w:val="EFDF0A86"/>
    <w:rsid w:val="F2FFC82F"/>
    <w:rsid w:val="F35F7E5B"/>
    <w:rsid w:val="F3BAB2F8"/>
    <w:rsid w:val="F3BC727F"/>
    <w:rsid w:val="F3D72F56"/>
    <w:rsid w:val="F3F7B4D4"/>
    <w:rsid w:val="F3FBBE87"/>
    <w:rsid w:val="F5E14A77"/>
    <w:rsid w:val="F6F6163C"/>
    <w:rsid w:val="F7DF3A8F"/>
    <w:rsid w:val="F7EFF02B"/>
    <w:rsid w:val="F7FFC230"/>
    <w:rsid w:val="F87D6310"/>
    <w:rsid w:val="F9FE95F0"/>
    <w:rsid w:val="F9FFB2D5"/>
    <w:rsid w:val="FA3B0501"/>
    <w:rsid w:val="FB09B2C6"/>
    <w:rsid w:val="FBF34B35"/>
    <w:rsid w:val="FBFAC8C7"/>
    <w:rsid w:val="FBFD6AB9"/>
    <w:rsid w:val="FBFFEA08"/>
    <w:rsid w:val="FCDFF3A1"/>
    <w:rsid w:val="FD75B448"/>
    <w:rsid w:val="FDDE8793"/>
    <w:rsid w:val="FDEEDD39"/>
    <w:rsid w:val="FDF750A3"/>
    <w:rsid w:val="FDFD0F80"/>
    <w:rsid w:val="FE1F00DC"/>
    <w:rsid w:val="FE1F7558"/>
    <w:rsid w:val="FE7F10E3"/>
    <w:rsid w:val="FE7FC253"/>
    <w:rsid w:val="FEFF715D"/>
    <w:rsid w:val="FEFF89B4"/>
    <w:rsid w:val="FEFFF0D2"/>
    <w:rsid w:val="FF56AD41"/>
    <w:rsid w:val="FF5F19FF"/>
    <w:rsid w:val="FF9C65DA"/>
    <w:rsid w:val="FFBE04A0"/>
    <w:rsid w:val="FFBF1402"/>
    <w:rsid w:val="FFDB8C0D"/>
    <w:rsid w:val="FFECCD91"/>
    <w:rsid w:val="FFECF549"/>
    <w:rsid w:val="FFEF740B"/>
    <w:rsid w:val="FFFF3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paragraph" w:styleId="2">
    <w:name w:val="heading 1"/>
    <w:basedOn w:val="3"/>
    <w:next w:val="1"/>
    <w:link w:val="24"/>
    <w:qFormat/>
    <w:uiPriority w:val="9"/>
    <w:pPr>
      <w:jc w:val="left"/>
      <w:outlineLvl w:val="0"/>
    </w:pPr>
    <w:rPr>
      <w:rFonts w:ascii="微软雅黑" w:hAnsi="微软雅黑" w:eastAsia="微软雅黑" w:cs="微软雅黑"/>
    </w:rPr>
  </w:style>
  <w:style w:type="paragraph" w:styleId="3">
    <w:name w:val="heading 2"/>
    <w:basedOn w:val="4"/>
    <w:next w:val="1"/>
    <w:link w:val="25"/>
    <w:qFormat/>
    <w:uiPriority w:val="9"/>
    <w:pPr>
      <w:spacing w:before="50" w:beforeLines="50" w:after="50" w:afterLines="50"/>
      <w:outlineLvl w:val="1"/>
    </w:pPr>
  </w:style>
  <w:style w:type="paragraph" w:styleId="4">
    <w:name w:val="heading 3"/>
    <w:basedOn w:val="5"/>
    <w:next w:val="1"/>
    <w:link w:val="26"/>
    <w:qFormat/>
    <w:uiPriority w:val="9"/>
    <w:pPr>
      <w:spacing w:before="120" w:after="120" w:line="560" w:lineRule="exact"/>
      <w:outlineLvl w:val="2"/>
    </w:pPr>
  </w:style>
  <w:style w:type="paragraph" w:styleId="5">
    <w:name w:val="heading 4"/>
    <w:basedOn w:val="1"/>
    <w:next w:val="1"/>
    <w:link w:val="27"/>
    <w:qFormat/>
    <w:uiPriority w:val="9"/>
    <w:pPr>
      <w:keepNext/>
      <w:keepLines/>
      <w:spacing w:before="280" w:after="290" w:line="377" w:lineRule="auto"/>
      <w:outlineLvl w:val="3"/>
    </w:pPr>
    <w:rPr>
      <w:rFonts w:ascii="仿宋" w:hAnsi="仿宋" w:eastAsia="仿宋" w:cs="华文楷体"/>
      <w:b/>
      <w:bCs/>
      <w:color w:val="000000"/>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Body Text"/>
    <w:basedOn w:val="1"/>
    <w:unhideWhenUsed/>
    <w:qFormat/>
    <w:uiPriority w:val="0"/>
    <w:pPr>
      <w:spacing w:after="120"/>
    </w:pPr>
  </w:style>
  <w:style w:type="paragraph" w:styleId="7">
    <w:name w:val="toc 3"/>
    <w:basedOn w:val="1"/>
    <w:next w:val="1"/>
    <w:qFormat/>
    <w:uiPriority w:val="39"/>
    <w:pPr>
      <w:ind w:left="840" w:leftChars="400"/>
    </w:pPr>
  </w:style>
  <w:style w:type="paragraph" w:styleId="8">
    <w:name w:val="Date"/>
    <w:basedOn w:val="1"/>
    <w:next w:val="1"/>
    <w:link w:val="23"/>
    <w:qFormat/>
    <w:uiPriority w:val="99"/>
    <w:pPr>
      <w:ind w:left="100" w:leftChars="2500"/>
    </w:pPr>
  </w:style>
  <w:style w:type="paragraph" w:styleId="9">
    <w:name w:val="Balloon Text"/>
    <w:basedOn w:val="1"/>
    <w:link w:val="31"/>
    <w:qFormat/>
    <w:uiPriority w:val="99"/>
    <w:rPr>
      <w:sz w:val="18"/>
      <w:szCs w:val="18"/>
    </w:rPr>
  </w:style>
  <w:style w:type="paragraph" w:styleId="10">
    <w:name w:val="footer"/>
    <w:basedOn w:val="1"/>
    <w:link w:val="22"/>
    <w:qFormat/>
    <w:uiPriority w:val="99"/>
    <w:pPr>
      <w:tabs>
        <w:tab w:val="center" w:pos="4153"/>
        <w:tab w:val="right" w:pos="8306"/>
      </w:tabs>
      <w:snapToGrid w:val="0"/>
      <w:jc w:val="left"/>
    </w:pPr>
    <w:rPr>
      <w:sz w:val="18"/>
      <w:szCs w:val="18"/>
    </w:rPr>
  </w:style>
  <w:style w:type="paragraph" w:styleId="11">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tabs>
        <w:tab w:val="right" w:leader="dot" w:pos="8296"/>
      </w:tabs>
      <w:spacing w:line="440" w:lineRule="exact"/>
    </w:pPr>
  </w:style>
  <w:style w:type="paragraph" w:styleId="13">
    <w:name w:val="toc 2"/>
    <w:basedOn w:val="1"/>
    <w:next w:val="1"/>
    <w:qFormat/>
    <w:uiPriority w:val="39"/>
    <w:pPr>
      <w:tabs>
        <w:tab w:val="right" w:leader="dot" w:pos="8296"/>
      </w:tabs>
      <w:spacing w:line="440" w:lineRule="exact"/>
      <w:ind w:left="420" w:leftChars="200"/>
    </w:pPr>
  </w:style>
  <w:style w:type="paragraph" w:styleId="14">
    <w:name w:val="Normal (Web)"/>
    <w:basedOn w:val="1"/>
    <w:qFormat/>
    <w:uiPriority w:val="99"/>
    <w:pPr>
      <w:spacing w:beforeAutospacing="1" w:afterAutospacing="1"/>
      <w:jc w:val="left"/>
    </w:pPr>
    <w:rPr>
      <w:rFonts w:cs="Times New Roman"/>
      <w:kern w:val="0"/>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styleId="19">
    <w:name w:val="FollowedHyperlink"/>
    <w:basedOn w:val="17"/>
    <w:qFormat/>
    <w:uiPriority w:val="0"/>
    <w:rPr>
      <w:color w:val="373737"/>
      <w:u w:val="none"/>
    </w:rPr>
  </w:style>
  <w:style w:type="character" w:styleId="20">
    <w:name w:val="Hyperlink"/>
    <w:basedOn w:val="17"/>
    <w:qFormat/>
    <w:uiPriority w:val="99"/>
    <w:rPr>
      <w:color w:val="0563C1"/>
      <w:u w:val="single"/>
    </w:rPr>
  </w:style>
  <w:style w:type="character" w:customStyle="1" w:styleId="21">
    <w:name w:val="页眉 字符"/>
    <w:basedOn w:val="17"/>
    <w:link w:val="11"/>
    <w:qFormat/>
    <w:uiPriority w:val="99"/>
    <w:rPr>
      <w:sz w:val="18"/>
      <w:szCs w:val="18"/>
    </w:rPr>
  </w:style>
  <w:style w:type="character" w:customStyle="1" w:styleId="22">
    <w:name w:val="页脚 字符"/>
    <w:basedOn w:val="17"/>
    <w:link w:val="10"/>
    <w:qFormat/>
    <w:uiPriority w:val="99"/>
    <w:rPr>
      <w:sz w:val="18"/>
      <w:szCs w:val="18"/>
    </w:rPr>
  </w:style>
  <w:style w:type="character" w:customStyle="1" w:styleId="23">
    <w:name w:val="日期 字符"/>
    <w:basedOn w:val="17"/>
    <w:link w:val="8"/>
    <w:qFormat/>
    <w:uiPriority w:val="99"/>
  </w:style>
  <w:style w:type="character" w:customStyle="1" w:styleId="24">
    <w:name w:val="标题 1 字符"/>
    <w:basedOn w:val="17"/>
    <w:link w:val="2"/>
    <w:qFormat/>
    <w:uiPriority w:val="9"/>
    <w:rPr>
      <w:rFonts w:ascii="微软雅黑" w:hAnsi="微软雅黑" w:eastAsia="微软雅黑" w:cs="微软雅黑"/>
      <w:b/>
      <w:bCs/>
      <w:color w:val="000000"/>
      <w:kern w:val="2"/>
      <w:sz w:val="32"/>
      <w:szCs w:val="32"/>
    </w:rPr>
  </w:style>
  <w:style w:type="character" w:customStyle="1" w:styleId="25">
    <w:name w:val="标题 2 字符"/>
    <w:basedOn w:val="17"/>
    <w:link w:val="3"/>
    <w:qFormat/>
    <w:uiPriority w:val="9"/>
    <w:rPr>
      <w:rFonts w:ascii="仿宋" w:hAnsi="仿宋" w:eastAsia="仿宋" w:cs="华文楷体"/>
      <w:b/>
      <w:bCs/>
      <w:color w:val="000000"/>
      <w:kern w:val="2"/>
      <w:sz w:val="32"/>
      <w:szCs w:val="32"/>
    </w:rPr>
  </w:style>
  <w:style w:type="character" w:customStyle="1" w:styleId="26">
    <w:name w:val="标题 3 字符"/>
    <w:basedOn w:val="17"/>
    <w:link w:val="4"/>
    <w:qFormat/>
    <w:uiPriority w:val="9"/>
    <w:rPr>
      <w:rFonts w:ascii="仿宋" w:hAnsi="仿宋" w:eastAsia="仿宋" w:cs="华文楷体"/>
      <w:b/>
      <w:bCs/>
      <w:color w:val="000000"/>
      <w:kern w:val="2"/>
      <w:sz w:val="32"/>
      <w:szCs w:val="32"/>
    </w:rPr>
  </w:style>
  <w:style w:type="character" w:customStyle="1" w:styleId="27">
    <w:name w:val="标题 4 字符"/>
    <w:basedOn w:val="17"/>
    <w:link w:val="5"/>
    <w:qFormat/>
    <w:uiPriority w:val="9"/>
    <w:rPr>
      <w:rFonts w:ascii="仿宋" w:hAnsi="仿宋" w:eastAsia="仿宋" w:cs="华文楷体"/>
      <w:b/>
      <w:bCs/>
      <w:color w:val="000000"/>
      <w:sz w:val="32"/>
      <w:szCs w:val="32"/>
    </w:rPr>
  </w:style>
  <w:style w:type="paragraph" w:customStyle="1" w:styleId="28">
    <w:name w:val="无间隔1"/>
    <w:qFormat/>
    <w:uiPriority w:val="1"/>
    <w:pPr>
      <w:widowControl w:val="0"/>
      <w:jc w:val="both"/>
    </w:pPr>
    <w:rPr>
      <w:rFonts w:ascii="等线" w:hAnsi="等线" w:eastAsia="等线" w:cs="宋体"/>
      <w:kern w:val="2"/>
      <w:sz w:val="21"/>
      <w:szCs w:val="22"/>
      <w:lang w:val="en-US" w:eastAsia="zh-CN" w:bidi="ar-SA"/>
    </w:rPr>
  </w:style>
  <w:style w:type="paragraph" w:customStyle="1" w:styleId="29">
    <w:name w:val="TOC 标题1"/>
    <w:basedOn w:val="2"/>
    <w:next w:val="1"/>
    <w:qFormat/>
    <w:uiPriority w:val="39"/>
    <w:pPr>
      <w:widowControl/>
      <w:spacing w:before="240" w:after="0" w:line="259" w:lineRule="auto"/>
      <w:outlineLvl w:val="9"/>
    </w:pPr>
    <w:rPr>
      <w:rFonts w:ascii="等线 Light" w:hAnsi="等线 Light" w:eastAsia="等线 Light" w:cs="宋体"/>
      <w:b w:val="0"/>
      <w:bCs w:val="0"/>
      <w:color w:val="2E75B6"/>
      <w:kern w:val="0"/>
    </w:rPr>
  </w:style>
  <w:style w:type="table" w:customStyle="1" w:styleId="30">
    <w:name w:val="网格型1"/>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
    <w:name w:val="批注框文本 字符"/>
    <w:basedOn w:val="17"/>
    <w:link w:val="9"/>
    <w:qFormat/>
    <w:uiPriority w:val="99"/>
    <w:rPr>
      <w:rFonts w:ascii="等线" w:hAnsi="等线" w:eastAsia="等线" w:cs="宋体"/>
      <w:kern w:val="2"/>
      <w:sz w:val="18"/>
      <w:szCs w:val="18"/>
    </w:rPr>
  </w:style>
  <w:style w:type="paragraph" w:customStyle="1" w:styleId="32">
    <w:name w:val="Body text|1"/>
    <w:qFormat/>
    <w:uiPriority w:val="0"/>
    <w:pPr>
      <w:widowControl w:val="0"/>
      <w:spacing w:line="360" w:lineRule="auto"/>
      <w:ind w:firstLine="320"/>
    </w:pPr>
    <w:rPr>
      <w:rFonts w:ascii="宋体" w:hAnsi="宋体" w:eastAsia="宋体" w:cs="宋体"/>
      <w:sz w:val="15"/>
      <w:szCs w:val="15"/>
      <w:lang w:val="zh-TW" w:eastAsia="zh-TW" w:bidi="zh-TW"/>
    </w:rPr>
  </w:style>
  <w:style w:type="paragraph" w:customStyle="1" w:styleId="33">
    <w:name w:val="Body text|2"/>
    <w:basedOn w:val="1"/>
    <w:qFormat/>
    <w:uiPriority w:val="0"/>
    <w:pPr>
      <w:spacing w:after="340" w:line="322" w:lineRule="auto"/>
      <w:ind w:firstLine="300"/>
    </w:pPr>
    <w:rPr>
      <w:sz w:val="16"/>
      <w:szCs w:val="16"/>
      <w:lang w:val="zh-TW" w:eastAsia="zh-TW" w:bidi="zh-TW"/>
    </w:rPr>
  </w:style>
  <w:style w:type="character" w:customStyle="1" w:styleId="34">
    <w:name w:val="angle"/>
    <w:basedOn w:val="17"/>
    <w:qFormat/>
    <w:uiPriority w:val="0"/>
  </w:style>
  <w:style w:type="paragraph" w:customStyle="1" w:styleId="35">
    <w:name w:val="列表段落1"/>
    <w:basedOn w:val="1"/>
    <w:qFormat/>
    <w:uiPriority w:val="99"/>
    <w:pPr>
      <w:ind w:firstLine="420" w:firstLineChars="200"/>
    </w:pPr>
  </w:style>
  <w:style w:type="paragraph" w:customStyle="1" w:styleId="36">
    <w:name w:val="列表段落2"/>
    <w:basedOn w:val="1"/>
    <w:qFormat/>
    <w:uiPriority w:val="34"/>
    <w:pPr>
      <w:widowControl/>
      <w:ind w:firstLine="420" w:firstLineChars="200"/>
      <w:jc w:val="left"/>
    </w:pPr>
    <w:rPr>
      <w:rFonts w:ascii="宋体" w:hAnsi="宋体" w:eastAsia="宋体"/>
      <w:kern w:val="0"/>
      <w:sz w:val="24"/>
      <w:szCs w:val="24"/>
    </w:rPr>
  </w:style>
  <w:style w:type="character" w:customStyle="1" w:styleId="37">
    <w:name w:val="font21"/>
    <w:basedOn w:val="17"/>
    <w:qFormat/>
    <w:uiPriority w:val="0"/>
    <w:rPr>
      <w:rFonts w:hint="eastAsia" w:ascii="仿宋" w:hAnsi="仿宋" w:eastAsia="仿宋" w:cs="仿宋"/>
      <w:b/>
      <w:bCs/>
      <w:color w:val="000000"/>
      <w:sz w:val="21"/>
      <w:szCs w:val="21"/>
      <w:u w:val="none"/>
    </w:rPr>
  </w:style>
  <w:style w:type="character" w:customStyle="1" w:styleId="38">
    <w:name w:val="font01"/>
    <w:basedOn w:val="17"/>
    <w:uiPriority w:val="0"/>
    <w:rPr>
      <w:rFonts w:hint="default" w:ascii="Times New Roman" w:hAnsi="Times New Roman" w:cs="Times New Roman"/>
      <w:b/>
      <w:bCs/>
      <w:color w:val="000000"/>
      <w:sz w:val="21"/>
      <w:szCs w:val="21"/>
      <w:u w:val="none"/>
    </w:rPr>
  </w:style>
  <w:style w:type="character" w:customStyle="1" w:styleId="39">
    <w:name w:val="font31"/>
    <w:basedOn w:val="17"/>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2801</Words>
  <Characters>15968</Characters>
  <Lines>133</Lines>
  <Paragraphs>37</Paragraphs>
  <TotalTime>329</TotalTime>
  <ScaleCrop>false</ScaleCrop>
  <LinksUpToDate>false</LinksUpToDate>
  <CharactersWithSpaces>18732</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2021-08-11T11:42:00Z</dcterms:created>
  <dc:creator>章娜</dc:creator>
  <cp:lastModifiedBy>清扬</cp:lastModifiedBy>
  <cp:lastPrinted>2022-01-07T07:32:00Z</cp:lastPrinted>
  <dcterms:modified xsi:type="dcterms:W3CDTF">2022-01-17T02:04:48Z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620634A6F2B141AF8AF0B668A07E7B90</vt:lpwstr>
  </property>
</Properties>
</file>