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 w:hAnsi="仿宋" w:eastAsia="仿宋" w:cs="仿宋"/>
          <w:sz w:val="28"/>
          <w:szCs w:val="28"/>
        </w:rPr>
        <w:t>附件1：</w:t>
      </w:r>
    </w:p>
    <w:p>
      <w:pPr>
        <w:spacing w:line="560" w:lineRule="exact"/>
        <w:jc w:val="center"/>
        <w:outlineLvl w:val="0"/>
        <w:rPr>
          <w:rFonts w:ascii="仿宋" w:hAnsi="仿宋" w:eastAsia="仿宋"/>
          <w:b/>
          <w:sz w:val="32"/>
          <w:szCs w:val="32"/>
        </w:rPr>
      </w:pPr>
      <w:r>
        <w:rPr>
          <w:rFonts w:hint="eastAsia" w:ascii="仿宋" w:hAnsi="仿宋" w:eastAsia="仿宋"/>
          <w:b/>
          <w:sz w:val="32"/>
          <w:szCs w:val="32"/>
        </w:rPr>
        <w:t>2022年湖北省高校新入职人员岗前培训方案</w:t>
      </w:r>
    </w:p>
    <w:p>
      <w:pPr>
        <w:spacing w:line="520" w:lineRule="exact"/>
        <w:rPr>
          <w:rFonts w:ascii="仿宋" w:hAnsi="仿宋" w:eastAsia="仿宋"/>
          <w:sz w:val="28"/>
          <w:szCs w:val="28"/>
        </w:rPr>
      </w:pPr>
    </w:p>
    <w:p>
      <w:pPr>
        <w:spacing w:line="520" w:lineRule="exact"/>
        <w:ind w:firstLine="560" w:firstLineChars="200"/>
        <w:rPr>
          <w:rFonts w:ascii="仿宋" w:hAnsi="仿宋" w:eastAsia="仿宋"/>
          <w:sz w:val="28"/>
          <w:szCs w:val="28"/>
        </w:rPr>
      </w:pPr>
      <w:r>
        <w:rPr>
          <w:rFonts w:hint="eastAsia" w:ascii="仿宋" w:hAnsi="仿宋" w:eastAsia="仿宋"/>
          <w:sz w:val="28"/>
          <w:szCs w:val="28"/>
        </w:rPr>
        <w:t>为贯彻落实《中共中央 国务院关于全面深化新时代教师队伍建设改革的意见》（中发[2018]4号）及湖北省高校教师队伍建设有关文件要求，强化高校教师队伍建设，切实推进湖北省高等教育高质量发展，激励高校新入职人员以昂扬奋进的精神状态投身到新的岗位中，现结合实际，制定本方案。</w:t>
      </w:r>
    </w:p>
    <w:p>
      <w:pPr>
        <w:spacing w:line="520" w:lineRule="exact"/>
        <w:ind w:firstLine="562" w:firstLineChars="200"/>
        <w:rPr>
          <w:rFonts w:ascii="仿宋" w:hAnsi="仿宋" w:eastAsia="仿宋" w:cs="仿宋_GB2312"/>
          <w:b/>
          <w:bCs/>
          <w:sz w:val="28"/>
          <w:szCs w:val="28"/>
        </w:rPr>
      </w:pPr>
      <w:r>
        <w:rPr>
          <w:rFonts w:hint="eastAsia" w:ascii="仿宋" w:hAnsi="仿宋" w:eastAsia="仿宋" w:cs="仿宋_GB2312"/>
          <w:b/>
          <w:bCs/>
          <w:sz w:val="28"/>
          <w:szCs w:val="28"/>
        </w:rPr>
        <w:t>一、培训目标</w:t>
      </w:r>
      <w:r>
        <w:rPr>
          <w:rFonts w:hint="eastAsia" w:ascii="仿宋" w:hAnsi="仿宋" w:eastAsia="仿宋" w:cs="仿宋_GB2312"/>
          <w:b/>
          <w:bCs/>
          <w:sz w:val="28"/>
          <w:szCs w:val="28"/>
        </w:rPr>
        <w:tab/>
      </w:r>
    </w:p>
    <w:p>
      <w:pPr>
        <w:spacing w:line="520" w:lineRule="exact"/>
        <w:ind w:firstLine="560" w:firstLineChars="200"/>
        <w:rPr>
          <w:rFonts w:ascii="仿宋" w:hAnsi="仿宋" w:eastAsia="仿宋"/>
          <w:sz w:val="28"/>
          <w:szCs w:val="28"/>
        </w:rPr>
      </w:pPr>
      <w:r>
        <w:rPr>
          <w:rFonts w:hint="eastAsia" w:ascii="仿宋" w:hAnsi="仿宋" w:eastAsia="仿宋"/>
          <w:sz w:val="28"/>
          <w:szCs w:val="28"/>
        </w:rPr>
        <w:t>聚焦高校新入职人员思想政治素养和职业道德素质；着力高校新入职人员职业引导，帮助参训学员掌握基本工作规范，尽快适应新的工作岗位；立足高校教师教学能力培养和专业发展，帮助新教师掌握教育教学基本技能和科研基本方法。</w:t>
      </w:r>
    </w:p>
    <w:p>
      <w:pPr>
        <w:spacing w:line="520" w:lineRule="exact"/>
        <w:ind w:firstLine="562" w:firstLineChars="200"/>
        <w:rPr>
          <w:rFonts w:ascii="仿宋" w:hAnsi="仿宋" w:eastAsia="仿宋" w:cs="仿宋_GB2312"/>
          <w:b/>
          <w:bCs/>
          <w:sz w:val="28"/>
          <w:szCs w:val="28"/>
        </w:rPr>
      </w:pPr>
      <w:r>
        <w:rPr>
          <w:rFonts w:hint="eastAsia" w:ascii="仿宋" w:hAnsi="仿宋" w:eastAsia="仿宋" w:cs="仿宋_GB2312"/>
          <w:b/>
          <w:bCs/>
          <w:sz w:val="28"/>
          <w:szCs w:val="28"/>
        </w:rPr>
        <w:t>二、培训对象</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1.新补充到高等学校从事教学（含高等学校附属医院临床教学人员）、思政、教辅及行政管理等工作的人员（含博士毕业生），以及近两年入职而未取得湖北省高校新入职人员岗前培训（以下简称“岗前培训”）合格证的人员。</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2.高等学校附属医院临床教学人员申请参加岗前培训，需符合《省教育厅关于高等学校附属医院临床教学人员申请高等学校教师资格有关事项的通知》（鄂教师[2014]5号）的文件要求。</w:t>
      </w:r>
    </w:p>
    <w:p>
      <w:pPr>
        <w:spacing w:line="520" w:lineRule="exact"/>
        <w:ind w:firstLine="562" w:firstLineChars="200"/>
        <w:rPr>
          <w:rFonts w:ascii="仿宋" w:hAnsi="仿宋" w:eastAsia="仿宋" w:cs="仿宋_GB2312"/>
          <w:b/>
          <w:bCs/>
          <w:sz w:val="28"/>
          <w:szCs w:val="28"/>
        </w:rPr>
      </w:pPr>
      <w:r>
        <w:rPr>
          <w:rFonts w:hint="eastAsia" w:ascii="仿宋" w:hAnsi="仿宋" w:eastAsia="仿宋" w:cs="仿宋_GB2312"/>
          <w:b/>
          <w:bCs/>
          <w:sz w:val="28"/>
          <w:szCs w:val="28"/>
        </w:rPr>
        <w:t>三、培训内容、方式</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依据高校新入职人员的岗位要求，聚焦新入职人员的职业认知、教育知识与能力、专业发展三大维度，采取集中培训、个人自学、校本研修三种方式，利用“互联网+教师教育”模式，探索实施线上与线下有机结合的泛在学习、理论与实践融合学习、通识与专业分类学习的混合研修模式，突出实效和应用。岗前培训总学时不少于144学时，其中集中培训不少于 48学时，线上学习不少于40学时，校本研修不少于56学时。</w:t>
      </w:r>
    </w:p>
    <w:p>
      <w:pPr>
        <w:spacing w:line="520" w:lineRule="exact"/>
        <w:ind w:firstLine="562" w:firstLineChars="200"/>
        <w:rPr>
          <w:rFonts w:ascii="仿宋" w:hAnsi="仿宋" w:eastAsia="仿宋" w:cs="仿宋_GB2312"/>
          <w:b/>
          <w:bCs/>
          <w:sz w:val="28"/>
          <w:szCs w:val="28"/>
        </w:rPr>
      </w:pPr>
      <w:r>
        <w:rPr>
          <w:rFonts w:hint="eastAsia" w:ascii="仿宋" w:hAnsi="仿宋" w:eastAsia="仿宋" w:cs="仿宋_GB2312"/>
          <w:b/>
          <w:bCs/>
          <w:sz w:val="28"/>
          <w:szCs w:val="28"/>
        </w:rPr>
        <w:t>（一）集中培训</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集中培训由湖北省高等学校师资培训中心（以下简称“省高师中心”）认定的承训点负责实施，主要采取专题报告、案例分析、名师分享、录像观摩等方式进行。集中培训须在7月31日前完成。集中培训主要围绕以下专题开展：</w:t>
      </w:r>
    </w:p>
    <w:tbl>
      <w:tblPr>
        <w:tblStyle w:val="7"/>
        <w:tblW w:w="8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
        <w:gridCol w:w="993"/>
        <w:gridCol w:w="1275"/>
        <w:gridCol w:w="5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780" w:type="dxa"/>
            <w:gridSpan w:val="3"/>
            <w:tcBorders>
              <w:top w:val="single" w:color="auto" w:sz="4" w:space="0"/>
              <w:left w:val="single" w:color="auto" w:sz="4" w:space="0"/>
              <w:bottom w:val="single" w:color="auto" w:sz="4" w:space="0"/>
              <w:right w:val="single" w:color="auto" w:sz="4" w:space="0"/>
            </w:tcBorders>
          </w:tcPr>
          <w:p>
            <w:pPr>
              <w:jc w:val="center"/>
              <w:rPr>
                <w:rFonts w:ascii="仿宋" w:hAnsi="仿宋" w:eastAsia="仿宋" w:cs="仿宋"/>
                <w:b/>
                <w:sz w:val="24"/>
                <w:szCs w:val="24"/>
              </w:rPr>
            </w:pPr>
            <w:r>
              <w:rPr>
                <w:rFonts w:hint="eastAsia" w:ascii="仿宋" w:hAnsi="仿宋" w:eastAsia="仿宋" w:cs="仿宋"/>
                <w:b/>
                <w:sz w:val="24"/>
                <w:szCs w:val="24"/>
              </w:rPr>
              <w:t>类型</w:t>
            </w:r>
          </w:p>
        </w:tc>
        <w:tc>
          <w:tcPr>
            <w:tcW w:w="5387" w:type="dxa"/>
            <w:tcBorders>
              <w:top w:val="single" w:color="auto" w:sz="4" w:space="0"/>
              <w:left w:val="single" w:color="auto" w:sz="4" w:space="0"/>
              <w:bottom w:val="single" w:color="auto" w:sz="4" w:space="0"/>
            </w:tcBorders>
          </w:tcPr>
          <w:p>
            <w:pPr>
              <w:jc w:val="center"/>
              <w:rPr>
                <w:rFonts w:ascii="仿宋" w:hAnsi="仿宋" w:eastAsia="仿宋" w:cs="仿宋"/>
                <w:b/>
                <w:sz w:val="24"/>
                <w:szCs w:val="24"/>
              </w:rPr>
            </w:pPr>
            <w:r>
              <w:rPr>
                <w:rFonts w:hint="eastAsia" w:ascii="仿宋" w:hAnsi="仿宋" w:eastAsia="仿宋" w:cs="仿宋"/>
                <w:b/>
                <w:sz w:val="24"/>
                <w:szCs w:val="24"/>
              </w:rPr>
              <w:t>专题名称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restart"/>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必</w:t>
            </w:r>
          </w:p>
          <w:p>
            <w:pPr>
              <w:jc w:val="center"/>
              <w:rPr>
                <w:rFonts w:ascii="仿宋" w:hAnsi="仿宋" w:eastAsia="仿宋" w:cs="仿宋"/>
                <w:sz w:val="24"/>
                <w:szCs w:val="24"/>
              </w:rPr>
            </w:pPr>
            <w:r>
              <w:rPr>
                <w:rFonts w:hint="eastAsia" w:ascii="仿宋" w:hAnsi="仿宋" w:eastAsia="仿宋" w:cs="仿宋"/>
                <w:sz w:val="24"/>
                <w:szCs w:val="24"/>
              </w:rPr>
              <w:t>修</w:t>
            </w:r>
          </w:p>
          <w:p>
            <w:pPr>
              <w:jc w:val="center"/>
              <w:rPr>
                <w:rFonts w:ascii="仿宋" w:hAnsi="仿宋" w:eastAsia="仿宋" w:cs="仿宋"/>
                <w:sz w:val="24"/>
                <w:szCs w:val="24"/>
              </w:rPr>
            </w:pPr>
            <w:r>
              <w:rPr>
                <w:rFonts w:hint="eastAsia" w:ascii="仿宋" w:hAnsi="仿宋" w:eastAsia="仿宋" w:cs="仿宋"/>
                <w:sz w:val="24"/>
                <w:szCs w:val="24"/>
              </w:rPr>
              <w:t>专</w:t>
            </w:r>
          </w:p>
          <w:p>
            <w:pPr>
              <w:jc w:val="center"/>
              <w:rPr>
                <w:rFonts w:ascii="仿宋" w:hAnsi="仿宋" w:eastAsia="仿宋" w:cs="仿宋"/>
                <w:sz w:val="24"/>
                <w:szCs w:val="24"/>
              </w:rPr>
            </w:pPr>
            <w:r>
              <w:rPr>
                <w:rFonts w:hint="eastAsia" w:ascii="仿宋" w:hAnsi="仿宋" w:eastAsia="仿宋" w:cs="仿宋"/>
                <w:sz w:val="24"/>
                <w:szCs w:val="24"/>
              </w:rPr>
              <w:t>题</w:t>
            </w:r>
          </w:p>
        </w:tc>
        <w:tc>
          <w:tcPr>
            <w:tcW w:w="993" w:type="dxa"/>
            <w:vMerge w:val="restart"/>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职业</w:t>
            </w:r>
          </w:p>
          <w:p>
            <w:pPr>
              <w:jc w:val="center"/>
              <w:rPr>
                <w:rFonts w:ascii="仿宋" w:hAnsi="仿宋" w:eastAsia="仿宋" w:cs="仿宋"/>
                <w:sz w:val="24"/>
                <w:szCs w:val="24"/>
              </w:rPr>
            </w:pPr>
            <w:r>
              <w:rPr>
                <w:rFonts w:hint="eastAsia" w:ascii="仿宋" w:hAnsi="仿宋" w:eastAsia="仿宋" w:cs="仿宋"/>
                <w:sz w:val="24"/>
                <w:szCs w:val="24"/>
              </w:rPr>
              <w:t>认知</w:t>
            </w:r>
          </w:p>
        </w:tc>
        <w:tc>
          <w:tcPr>
            <w:tcW w:w="1275" w:type="dxa"/>
            <w:vMerge w:val="restart"/>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习近平新时代中国特色社会主义思想</w:t>
            </w: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习近平新时代中国特色社会主义思想解读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党的十九届五中全会、六中全会精神解读及党史学习教育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习近平教育重要论述解读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总体国家安全观主题教育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restart"/>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队伍建设</w:t>
            </w: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高校教师的理想信念与道德情操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社会主义核心价值观与教书育人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做以德立身、以德立学、以德施教、以德育德的“四有”好老师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落实新时代高校教师职业行为十项准则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新时期高校教师的职业境界与自我修炼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《高校教师职业道德修养》--师德师风典型人物案例研学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restart"/>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职业使命</w:t>
            </w: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高校教师职业宣誓与行动宣言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top w:val="single" w:color="auto" w:sz="4" w:space="0"/>
              <w:left w:val="single" w:color="auto" w:sz="4" w:space="0"/>
              <w:right w:val="single" w:color="auto" w:sz="4" w:space="0"/>
            </w:tcBorders>
            <w:vAlign w:val="center"/>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新时代高校教师的职业使命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高等教育法制与高校师生权益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《高等教育法规概论》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restart"/>
            <w:tcBorders>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教育</w:t>
            </w:r>
          </w:p>
          <w:p>
            <w:pPr>
              <w:jc w:val="center"/>
              <w:rPr>
                <w:rFonts w:ascii="仿宋" w:hAnsi="仿宋" w:eastAsia="仿宋" w:cs="仿宋"/>
                <w:sz w:val="24"/>
                <w:szCs w:val="24"/>
              </w:rPr>
            </w:pPr>
            <w:r>
              <w:rPr>
                <w:rFonts w:hint="eastAsia" w:ascii="仿宋" w:hAnsi="仿宋" w:eastAsia="仿宋" w:cs="仿宋"/>
                <w:sz w:val="24"/>
                <w:szCs w:val="24"/>
              </w:rPr>
              <w:t>知识</w:t>
            </w:r>
          </w:p>
          <w:p>
            <w:pPr>
              <w:jc w:val="center"/>
              <w:rPr>
                <w:rFonts w:ascii="仿宋" w:hAnsi="仿宋" w:eastAsia="仿宋" w:cs="仿宋"/>
                <w:sz w:val="24"/>
                <w:szCs w:val="24"/>
              </w:rPr>
            </w:pPr>
            <w:r>
              <w:rPr>
                <w:rFonts w:hint="eastAsia" w:ascii="仿宋" w:hAnsi="仿宋" w:eastAsia="仿宋" w:cs="仿宋"/>
                <w:sz w:val="24"/>
                <w:szCs w:val="24"/>
              </w:rPr>
              <w:t>与能力</w:t>
            </w:r>
          </w:p>
        </w:tc>
        <w:tc>
          <w:tcPr>
            <w:tcW w:w="1275" w:type="dxa"/>
            <w:vMerge w:val="restart"/>
            <w:tcBorders>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教学理论</w:t>
            </w: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教育理念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《高等教育学》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《高等教育心理学》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restart"/>
            <w:tcBorders>
              <w:left w:val="single" w:color="auto" w:sz="4" w:space="0"/>
              <w:right w:val="single" w:color="auto" w:sz="4" w:space="0"/>
            </w:tcBorders>
            <w:vAlign w:val="center"/>
          </w:tcPr>
          <w:p>
            <w:pPr>
              <w:jc w:val="center"/>
              <w:rPr>
                <w:rFonts w:ascii="仿宋" w:hAnsi="仿宋" w:eastAsia="仿宋" w:cs="仿宋"/>
                <w:b/>
                <w:sz w:val="24"/>
                <w:szCs w:val="24"/>
              </w:rPr>
            </w:pPr>
            <w:r>
              <w:rPr>
                <w:rFonts w:hint="eastAsia" w:ascii="仿宋" w:hAnsi="仿宋" w:eastAsia="仿宋" w:cs="仿宋"/>
                <w:sz w:val="24"/>
                <w:szCs w:val="24"/>
              </w:rPr>
              <w:t>教学方法</w:t>
            </w: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教学设计、实施、评价的知识与方法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高校课堂设计、课程目标及内容选择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课堂教学管理的有效策略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教学板书、语言表达与仪表仪态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怎样通过教学评估提高教学质量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如何对学生的学习效果进行课后跟踪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restart"/>
            <w:tcBorders>
              <w:left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教育实践</w:t>
            </w: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现代信息技术在高校教学与管理中的应用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993" w:type="dxa"/>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1275" w:type="dxa"/>
            <w:vMerge w:val="continue"/>
            <w:tcBorders>
              <w:left w:val="single" w:color="auto" w:sz="4" w:space="0"/>
              <w:right w:val="single" w:color="auto" w:sz="4" w:space="0"/>
            </w:tcBorders>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创新创业教育课程体系构建与实施策略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2268" w:type="dxa"/>
            <w:gridSpan w:val="2"/>
            <w:vMerge w:val="restart"/>
            <w:tcBorders>
              <w:left w:val="single" w:color="auto" w:sz="4" w:space="0"/>
              <w:right w:val="single" w:color="auto" w:sz="4" w:space="0"/>
            </w:tcBorders>
            <w:vAlign w:val="center"/>
          </w:tcPr>
          <w:p>
            <w:pPr>
              <w:jc w:val="center"/>
              <w:rPr>
                <w:rFonts w:ascii="仿宋" w:hAnsi="仿宋" w:eastAsia="仿宋" w:cs="仿宋"/>
                <w:b/>
                <w:sz w:val="24"/>
                <w:szCs w:val="24"/>
              </w:rPr>
            </w:pPr>
            <w:r>
              <w:rPr>
                <w:rFonts w:hint="eastAsia" w:ascii="仿宋" w:hAnsi="仿宋" w:eastAsia="仿宋" w:cs="仿宋"/>
                <w:sz w:val="24"/>
                <w:szCs w:val="24"/>
              </w:rPr>
              <w:t>职业发展规划</w:t>
            </w: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高校教师职业生涯发展规划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2268" w:type="dxa"/>
            <w:gridSpan w:val="2"/>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高校教师人格、能力和素质的培养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2" w:type="dxa"/>
            <w:vMerge w:val="continue"/>
            <w:tcBorders>
              <w:left w:val="single" w:color="auto" w:sz="4" w:space="0"/>
              <w:right w:val="single" w:color="auto" w:sz="4" w:space="0"/>
            </w:tcBorders>
            <w:vAlign w:val="center"/>
          </w:tcPr>
          <w:p>
            <w:pPr>
              <w:jc w:val="left"/>
              <w:rPr>
                <w:rFonts w:ascii="仿宋" w:hAnsi="仿宋" w:eastAsia="仿宋" w:cs="仿宋"/>
                <w:sz w:val="24"/>
                <w:szCs w:val="24"/>
              </w:rPr>
            </w:pPr>
          </w:p>
        </w:tc>
        <w:tc>
          <w:tcPr>
            <w:tcW w:w="2268" w:type="dxa"/>
            <w:gridSpan w:val="2"/>
            <w:vMerge w:val="continue"/>
            <w:tcBorders>
              <w:left w:val="single" w:color="auto" w:sz="4" w:space="0"/>
              <w:right w:val="single" w:color="auto" w:sz="4" w:space="0"/>
            </w:tcBorders>
            <w:vAlign w:val="center"/>
          </w:tcPr>
          <w:p>
            <w:pPr>
              <w:jc w:val="center"/>
              <w:rPr>
                <w:rFonts w:ascii="仿宋" w:hAnsi="仿宋" w:eastAsia="仿宋" w:cs="仿宋"/>
                <w:sz w:val="24"/>
                <w:szCs w:val="24"/>
              </w:rPr>
            </w:pPr>
          </w:p>
        </w:tc>
        <w:tc>
          <w:tcPr>
            <w:tcW w:w="5387" w:type="dxa"/>
            <w:tcBorders>
              <w:top w:val="single" w:color="auto" w:sz="4" w:space="0"/>
              <w:left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高校科研与专业发展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restart"/>
            <w:tcBorders>
              <w:top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选</w:t>
            </w:r>
          </w:p>
          <w:p>
            <w:pPr>
              <w:jc w:val="center"/>
              <w:rPr>
                <w:rFonts w:ascii="仿宋" w:hAnsi="仿宋" w:eastAsia="仿宋" w:cs="仿宋"/>
                <w:sz w:val="24"/>
                <w:szCs w:val="24"/>
              </w:rPr>
            </w:pPr>
            <w:r>
              <w:rPr>
                <w:rFonts w:hint="eastAsia" w:ascii="仿宋" w:hAnsi="仿宋" w:eastAsia="仿宋" w:cs="仿宋"/>
                <w:sz w:val="24"/>
                <w:szCs w:val="24"/>
              </w:rPr>
              <w:t>修</w:t>
            </w:r>
          </w:p>
          <w:p>
            <w:pPr>
              <w:jc w:val="center"/>
              <w:rPr>
                <w:rFonts w:ascii="仿宋" w:hAnsi="仿宋" w:eastAsia="仿宋" w:cs="仿宋"/>
                <w:sz w:val="24"/>
                <w:szCs w:val="24"/>
              </w:rPr>
            </w:pPr>
            <w:r>
              <w:rPr>
                <w:rFonts w:hint="eastAsia" w:ascii="仿宋" w:hAnsi="仿宋" w:eastAsia="仿宋" w:cs="仿宋"/>
                <w:sz w:val="24"/>
                <w:szCs w:val="24"/>
              </w:rPr>
              <w:t>专</w:t>
            </w:r>
          </w:p>
          <w:p>
            <w:pPr>
              <w:jc w:val="center"/>
              <w:rPr>
                <w:rFonts w:ascii="仿宋" w:hAnsi="仿宋" w:eastAsia="仿宋" w:cs="仿宋"/>
                <w:sz w:val="24"/>
                <w:szCs w:val="24"/>
              </w:rPr>
            </w:pPr>
            <w:r>
              <w:rPr>
                <w:rFonts w:hint="eastAsia" w:ascii="仿宋" w:hAnsi="仿宋" w:eastAsia="仿宋" w:cs="仿宋"/>
                <w:sz w:val="24"/>
                <w:szCs w:val="24"/>
              </w:rPr>
              <w:t>题</w:t>
            </w:r>
          </w:p>
        </w:tc>
        <w:tc>
          <w:tcPr>
            <w:tcW w:w="1275" w:type="dxa"/>
            <w:vMerge w:val="restart"/>
            <w:tcBorders>
              <w:top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高教</w:t>
            </w:r>
          </w:p>
          <w:p>
            <w:pPr>
              <w:jc w:val="center"/>
              <w:rPr>
                <w:rFonts w:ascii="仿宋" w:hAnsi="仿宋" w:eastAsia="仿宋" w:cs="仿宋"/>
                <w:sz w:val="24"/>
                <w:szCs w:val="24"/>
              </w:rPr>
            </w:pPr>
            <w:r>
              <w:rPr>
                <w:rFonts w:hint="eastAsia" w:ascii="仿宋" w:hAnsi="仿宋" w:eastAsia="仿宋" w:cs="仿宋"/>
                <w:sz w:val="24"/>
                <w:szCs w:val="24"/>
              </w:rPr>
              <w:t>发展史</w:t>
            </w: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高等教育的历史、发展趋势及战略选择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vAlign w:val="center"/>
          </w:tcPr>
          <w:p>
            <w:pPr>
              <w:jc w:val="center"/>
              <w:rPr>
                <w:rFonts w:ascii="仿宋" w:hAnsi="仿宋" w:eastAsia="仿宋" w:cs="仿宋"/>
                <w:sz w:val="24"/>
                <w:szCs w:val="24"/>
              </w:rPr>
            </w:pP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中国高等教育改革发展与国际比较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restart"/>
            <w:vAlign w:val="center"/>
          </w:tcPr>
          <w:p>
            <w:pPr>
              <w:jc w:val="center"/>
              <w:rPr>
                <w:rFonts w:ascii="仿宋" w:hAnsi="仿宋" w:eastAsia="仿宋" w:cs="仿宋"/>
                <w:sz w:val="24"/>
                <w:szCs w:val="24"/>
              </w:rPr>
            </w:pPr>
            <w:r>
              <w:rPr>
                <w:rFonts w:hint="eastAsia" w:ascii="仿宋" w:hAnsi="仿宋" w:eastAsia="仿宋" w:cs="仿宋"/>
                <w:sz w:val="24"/>
                <w:szCs w:val="24"/>
              </w:rPr>
              <w:t>高教基础概论</w:t>
            </w: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我国高校发展的现状与问题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大学的理念、本质与功能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高等学校组织与制度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法制精神与大学教育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restart"/>
            <w:vAlign w:val="center"/>
          </w:tcPr>
          <w:p>
            <w:pPr>
              <w:jc w:val="center"/>
              <w:rPr>
                <w:rFonts w:ascii="仿宋" w:hAnsi="仿宋" w:eastAsia="仿宋" w:cs="仿宋"/>
                <w:sz w:val="24"/>
                <w:szCs w:val="24"/>
              </w:rPr>
            </w:pPr>
            <w:r>
              <w:rPr>
                <w:rFonts w:hint="eastAsia" w:ascii="仿宋" w:hAnsi="仿宋" w:eastAsia="仿宋" w:cs="仿宋"/>
                <w:sz w:val="24"/>
                <w:szCs w:val="24"/>
              </w:rPr>
              <w:t>高教发展战略</w:t>
            </w: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推进一流大学、一流学科和一流专业建设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vAlign w:val="center"/>
          </w:tcPr>
          <w:p>
            <w:pPr>
              <w:jc w:val="center"/>
              <w:rPr>
                <w:rFonts w:ascii="仿宋" w:hAnsi="仿宋" w:eastAsia="仿宋" w:cs="仿宋"/>
                <w:sz w:val="24"/>
                <w:szCs w:val="24"/>
              </w:rPr>
            </w:pPr>
          </w:p>
        </w:tc>
        <w:tc>
          <w:tcPr>
            <w:tcW w:w="5387" w:type="dxa"/>
            <w:tcBorders>
              <w:top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高校科学研究与国家创新战略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大数据、超级计算、传感网、脑科学等新理论的认知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疫情常态化背景下的教育变革—加强教育信息化基础建设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发展现代职业教育，打通校企合作、东西协作、就业联动等体制机制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restart"/>
            <w:vAlign w:val="center"/>
          </w:tcPr>
          <w:p>
            <w:pPr>
              <w:jc w:val="center"/>
              <w:rPr>
                <w:rFonts w:ascii="仿宋" w:hAnsi="仿宋" w:eastAsia="仿宋" w:cs="仿宋"/>
                <w:sz w:val="24"/>
                <w:szCs w:val="24"/>
              </w:rPr>
            </w:pPr>
            <w:r>
              <w:rPr>
                <w:rFonts w:hint="eastAsia" w:ascii="仿宋" w:hAnsi="仿宋" w:eastAsia="仿宋" w:cs="仿宋"/>
                <w:sz w:val="24"/>
                <w:szCs w:val="24"/>
              </w:rPr>
              <w:t>专业素养</w:t>
            </w: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大学教学与教师教学发展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高校科研管理与课题申报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高校教师的团队合作与协同创新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新时代高校师生关系的构建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高校教师心理健康与压力管理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高校教师的人际交往与沟通技能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如何做好一名优秀的实验技术人员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如何成为一名优秀的管理人员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如何做好一名优秀的思政教师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5" w:type="dxa"/>
            <w:gridSpan w:val="2"/>
            <w:vMerge w:val="continue"/>
            <w:vAlign w:val="center"/>
          </w:tcPr>
          <w:p>
            <w:pPr>
              <w:jc w:val="center"/>
              <w:rPr>
                <w:rFonts w:ascii="仿宋" w:hAnsi="仿宋" w:eastAsia="仿宋" w:cs="仿宋"/>
                <w:sz w:val="24"/>
                <w:szCs w:val="24"/>
              </w:rPr>
            </w:pPr>
          </w:p>
        </w:tc>
        <w:tc>
          <w:tcPr>
            <w:tcW w:w="1275" w:type="dxa"/>
            <w:vMerge w:val="continue"/>
          </w:tcPr>
          <w:p>
            <w:pPr>
              <w:jc w:val="center"/>
              <w:rPr>
                <w:rFonts w:ascii="仿宋" w:hAnsi="仿宋" w:eastAsia="仿宋" w:cs="仿宋"/>
                <w:sz w:val="24"/>
                <w:szCs w:val="24"/>
              </w:rPr>
            </w:pPr>
          </w:p>
        </w:tc>
        <w:tc>
          <w:tcPr>
            <w:tcW w:w="5387" w:type="dxa"/>
            <w:tcBorders>
              <w:top w:val="single" w:color="auto" w:sz="4" w:space="0"/>
              <w:bottom w:val="single" w:color="auto" w:sz="4" w:space="0"/>
            </w:tcBorders>
            <w:vAlign w:val="center"/>
          </w:tcPr>
          <w:p>
            <w:pPr>
              <w:jc w:val="left"/>
              <w:rPr>
                <w:rFonts w:ascii="仿宋" w:hAnsi="仿宋" w:eastAsia="仿宋" w:cs="仿宋"/>
                <w:sz w:val="24"/>
                <w:szCs w:val="24"/>
              </w:rPr>
            </w:pPr>
            <w:r>
              <w:rPr>
                <w:rFonts w:hint="eastAsia" w:ascii="仿宋" w:hAnsi="仿宋" w:eastAsia="仿宋" w:cs="仿宋"/>
                <w:sz w:val="24"/>
                <w:szCs w:val="24"/>
              </w:rPr>
              <w:t>如何做好一名班主任</w:t>
            </w:r>
          </w:p>
        </w:tc>
      </w:tr>
    </w:tbl>
    <w:p>
      <w:pPr>
        <w:spacing w:line="280" w:lineRule="exact"/>
        <w:ind w:firstLine="640" w:firstLineChars="200"/>
        <w:rPr>
          <w:rFonts w:ascii="仿宋" w:hAnsi="仿宋" w:eastAsia="仿宋" w:cs="仿宋"/>
          <w:sz w:val="32"/>
          <w:szCs w:val="32"/>
        </w:rPr>
      </w:pPr>
    </w:p>
    <w:p>
      <w:pPr>
        <w:spacing w:line="560" w:lineRule="exact"/>
        <w:ind w:firstLine="643" w:firstLineChars="200"/>
        <w:rPr>
          <w:rFonts w:ascii="仿宋" w:hAnsi="仿宋" w:eastAsia="仿宋" w:cs="仿宋"/>
          <w:b/>
          <w:bCs/>
          <w:sz w:val="32"/>
          <w:szCs w:val="32"/>
        </w:rPr>
      </w:pPr>
    </w:p>
    <w:p>
      <w:pPr>
        <w:spacing w:line="520" w:lineRule="exact"/>
        <w:ind w:firstLine="562" w:firstLineChars="200"/>
        <w:rPr>
          <w:rFonts w:ascii="仿宋" w:hAnsi="仿宋" w:eastAsia="仿宋" w:cs="仿宋_GB2312"/>
          <w:b/>
          <w:bCs/>
          <w:sz w:val="28"/>
          <w:szCs w:val="28"/>
        </w:rPr>
      </w:pPr>
      <w:r>
        <w:rPr>
          <w:rFonts w:hint="eastAsia" w:ascii="仿宋" w:hAnsi="仿宋" w:eastAsia="仿宋" w:cs="仿宋_GB2312"/>
          <w:b/>
          <w:bCs/>
          <w:sz w:val="28"/>
          <w:szCs w:val="28"/>
        </w:rPr>
        <w:t>（二）个人自学</w:t>
      </w:r>
    </w:p>
    <w:p>
      <w:pPr>
        <w:wordWrap w:val="0"/>
        <w:spacing w:line="520" w:lineRule="exact"/>
        <w:ind w:firstLine="560" w:firstLineChars="200"/>
        <w:rPr>
          <w:rFonts w:ascii="仿宋" w:hAnsi="仿宋" w:eastAsia="仿宋"/>
          <w:sz w:val="28"/>
          <w:szCs w:val="28"/>
        </w:rPr>
      </w:pPr>
      <w:r>
        <w:rPr>
          <w:rFonts w:hint="eastAsia" w:ascii="仿宋" w:hAnsi="仿宋" w:eastAsia="仿宋"/>
          <w:sz w:val="28"/>
          <w:szCs w:val="28"/>
        </w:rPr>
        <w:t>个人自学包括线上学习和课程自修。线上学习要求学员</w:t>
      </w:r>
      <w:r>
        <w:rPr>
          <w:rFonts w:hint="eastAsia" w:ascii="仿宋" w:hAnsi="仿宋" w:eastAsia="仿宋"/>
          <w:color w:val="000000" w:themeColor="text1"/>
          <w:sz w:val="28"/>
          <w:szCs w:val="28"/>
        </w:rPr>
        <w:t>登录</w:t>
      </w:r>
      <w:r>
        <w:rPr>
          <w:rFonts w:hint="eastAsia" w:ascii="仿宋" w:hAnsi="仿宋" w:eastAsia="仿宋"/>
          <w:sz w:val="28"/>
          <w:szCs w:val="28"/>
        </w:rPr>
        <w:t>省高师中心线上学习平台</w:t>
      </w:r>
      <w:r>
        <w:rPr>
          <w:rFonts w:hint="eastAsia" w:ascii="仿宋" w:hAnsi="仿宋" w:eastAsia="仿宋"/>
          <w:color w:val="000000" w:themeColor="text1"/>
          <w:sz w:val="28"/>
          <w:szCs w:val="28"/>
        </w:rPr>
        <w:t>（</w:t>
      </w:r>
      <w:r>
        <w:rPr>
          <w:rFonts w:ascii="仿宋" w:hAnsi="仿宋" w:eastAsia="仿宋"/>
          <w:color w:val="000000" w:themeColor="text1"/>
          <w:sz w:val="28"/>
          <w:szCs w:val="28"/>
        </w:rPr>
        <w:t>http://hubeigs.zymreal.com/resource</w:t>
      </w:r>
      <w:r>
        <w:rPr>
          <w:rFonts w:hint="eastAsia" w:ascii="仿宋" w:hAnsi="仿宋" w:eastAsia="仿宋"/>
          <w:color w:val="000000" w:themeColor="text1"/>
          <w:sz w:val="28"/>
          <w:szCs w:val="28"/>
        </w:rPr>
        <w:t>）</w:t>
      </w:r>
      <w:r>
        <w:rPr>
          <w:rFonts w:hint="eastAsia" w:ascii="仿宋" w:hAnsi="仿宋" w:eastAsia="仿宋"/>
          <w:sz w:val="28"/>
          <w:szCs w:val="28"/>
        </w:rPr>
        <w:t>学习网络课程。学员登录平台的</w:t>
      </w:r>
      <w:r>
        <w:rPr>
          <w:rFonts w:hint="eastAsia" w:ascii="仿宋" w:hAnsi="仿宋" w:eastAsia="仿宋"/>
          <w:color w:val="000000" w:themeColor="text1"/>
          <w:sz w:val="28"/>
          <w:szCs w:val="28"/>
        </w:rPr>
        <w:t>用户名为身份证号，初始密码为身份证后六位（末尾字母“X”为大写）</w:t>
      </w:r>
      <w:r>
        <w:rPr>
          <w:rFonts w:hint="eastAsia" w:ascii="仿宋" w:hAnsi="仿宋" w:eastAsia="仿宋"/>
          <w:color w:val="auto"/>
          <w:sz w:val="28"/>
          <w:szCs w:val="28"/>
          <w:lang w:eastAsia="zh-CN"/>
        </w:rPr>
        <w:t>。</w:t>
      </w:r>
      <w:r>
        <w:rPr>
          <w:rFonts w:hint="eastAsia" w:ascii="仿宋" w:hAnsi="仿宋" w:eastAsia="仿宋"/>
          <w:sz w:val="28"/>
          <w:szCs w:val="28"/>
        </w:rPr>
        <w:t>线上学习时间：2022年7月14日-8月25日。课程自修要求学员结合岗前培训课程大纲和要求，自学“高等教育学”、“高等教育心理学”、“高等学校教师职业道德修养”、“高等教育法规概论”等课程。</w:t>
      </w:r>
    </w:p>
    <w:p>
      <w:pPr>
        <w:spacing w:line="520" w:lineRule="exact"/>
        <w:ind w:firstLine="562" w:firstLineChars="200"/>
        <w:rPr>
          <w:rFonts w:ascii="仿宋" w:hAnsi="仿宋" w:eastAsia="仿宋" w:cs="仿宋_GB2312"/>
          <w:b/>
          <w:bCs/>
          <w:sz w:val="28"/>
          <w:szCs w:val="28"/>
        </w:rPr>
      </w:pPr>
      <w:r>
        <w:rPr>
          <w:rFonts w:hint="eastAsia" w:ascii="仿宋" w:hAnsi="仿宋" w:eastAsia="仿宋" w:cs="仿宋_GB2312"/>
          <w:b/>
          <w:bCs/>
          <w:sz w:val="28"/>
          <w:szCs w:val="28"/>
        </w:rPr>
        <w:t>（三）校本研修</w:t>
      </w:r>
    </w:p>
    <w:p>
      <w:pPr>
        <w:spacing w:line="520" w:lineRule="exact"/>
        <w:ind w:firstLine="560" w:firstLineChars="200"/>
        <w:rPr>
          <w:rFonts w:ascii="仿宋" w:hAnsi="仿宋" w:eastAsia="仿宋" w:cs="仿宋"/>
          <w:sz w:val="28"/>
          <w:szCs w:val="28"/>
        </w:rPr>
      </w:pPr>
      <w:r>
        <w:rPr>
          <w:rFonts w:hint="eastAsia" w:ascii="仿宋" w:hAnsi="仿宋" w:eastAsia="仿宋"/>
          <w:sz w:val="28"/>
          <w:szCs w:val="28"/>
        </w:rPr>
        <w:t>校本研修由各参训高校负责，研修内容主要包含师德师风、国情国史、校情校史、学校文化、学校规章制度、教学观摩（听课）、教育实习（备课、讲课、评课等）、活动类课程设计与实践、科研导引等，重点突出实操性和实效性。各参训高校须把思想政治工作贯穿教育培训全过程，同时，鼓励各参训高校创新培训内容、形式和手段，建立完善传帮带机制，实行青年教师导师制，组织经验丰富的老教师组成专业团队指导新入职人员发展，搭建校级层面教师专业发展平台，建设院系教研室等学习共同体。校本研修期间，各参训参训高校还应根</w:t>
      </w:r>
      <w:r>
        <w:rPr>
          <w:rFonts w:hint="eastAsia" w:ascii="仿宋" w:hAnsi="仿宋" w:eastAsia="仿宋" w:cs="仿宋"/>
          <w:sz w:val="28"/>
          <w:szCs w:val="28"/>
        </w:rPr>
        <w:t>据岗前培训课程论文撰写要求，指导学员撰写《高等教育法规概论》和《参训高校教师职业道德修养》课程论文，校本研修须在8月25日前完成。</w:t>
      </w:r>
    </w:p>
    <w:p>
      <w:pPr>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四、</w:t>
      </w:r>
      <w:r>
        <w:rPr>
          <w:rFonts w:hint="eastAsia" w:ascii="仿宋" w:hAnsi="仿宋" w:eastAsia="仿宋" w:cs="仿宋"/>
          <w:b/>
          <w:sz w:val="28"/>
          <w:szCs w:val="28"/>
        </w:rPr>
        <w:t>考核与评分</w:t>
      </w:r>
      <w:r>
        <w:rPr>
          <w:rFonts w:hint="eastAsia" w:ascii="仿宋" w:hAnsi="仿宋" w:eastAsia="仿宋" w:cs="仿宋"/>
          <w:b/>
          <w:bCs/>
          <w:sz w:val="28"/>
          <w:szCs w:val="28"/>
        </w:rPr>
        <w:t>、结业与发证</w:t>
      </w:r>
    </w:p>
    <w:p>
      <w:pPr>
        <w:spacing w:line="520" w:lineRule="exact"/>
        <w:ind w:firstLine="562" w:firstLineChars="200"/>
        <w:rPr>
          <w:rFonts w:ascii="仿宋" w:hAnsi="仿宋" w:eastAsia="仿宋" w:cs="仿宋"/>
          <w:sz w:val="28"/>
          <w:szCs w:val="28"/>
        </w:rPr>
      </w:pPr>
      <w:r>
        <w:rPr>
          <w:rFonts w:hint="eastAsia" w:ascii="仿宋" w:hAnsi="仿宋" w:eastAsia="仿宋" w:cs="仿宋"/>
          <w:b/>
          <w:sz w:val="28"/>
          <w:szCs w:val="28"/>
        </w:rPr>
        <w:t>（一）考核与评分。</w:t>
      </w:r>
      <w:r>
        <w:rPr>
          <w:rFonts w:hint="eastAsia" w:ascii="仿宋" w:hAnsi="仿宋" w:eastAsia="仿宋" w:cs="仿宋"/>
          <w:sz w:val="28"/>
          <w:szCs w:val="28"/>
        </w:rPr>
        <w:t>岗前培训考核结果由《教育知识与能力》、《高等教育法规概论》、《高校教师职业道德修养》三门课程成绩组成，单门课程成绩有效期两年。</w:t>
      </w:r>
    </w:p>
    <w:p>
      <w:pPr>
        <w:spacing w:line="520" w:lineRule="exact"/>
        <w:ind w:firstLine="560" w:firstLineChars="200"/>
        <w:rPr>
          <w:rFonts w:ascii="仿宋" w:hAnsi="仿宋" w:eastAsia="仿宋" w:cs="仿宋"/>
          <w:b/>
          <w:bCs/>
          <w:sz w:val="28"/>
          <w:szCs w:val="28"/>
        </w:rPr>
      </w:pPr>
      <w:r>
        <w:rPr>
          <w:rFonts w:hint="eastAsia" w:ascii="仿宋" w:hAnsi="仿宋" w:eastAsia="仿宋" w:cs="仿宋"/>
          <w:sz w:val="28"/>
          <w:szCs w:val="28"/>
        </w:rPr>
        <w:t>1.</w:t>
      </w:r>
      <w:r>
        <w:rPr>
          <w:rFonts w:hint="eastAsia" w:ascii="仿宋" w:hAnsi="仿宋" w:eastAsia="仿宋" w:cs="仿宋"/>
          <w:b/>
          <w:sz w:val="28"/>
          <w:szCs w:val="28"/>
        </w:rPr>
        <w:t>《教育知识与能力》</w:t>
      </w:r>
      <w:r>
        <w:rPr>
          <w:rFonts w:hint="eastAsia" w:ascii="仿宋" w:hAnsi="仿宋" w:eastAsia="仿宋" w:cs="仿宋"/>
          <w:bCs/>
          <w:sz w:val="28"/>
          <w:szCs w:val="28"/>
        </w:rPr>
        <w:t>课程考核</w:t>
      </w:r>
      <w:r>
        <w:rPr>
          <w:rFonts w:hint="eastAsia" w:ascii="仿宋" w:hAnsi="仿宋" w:eastAsia="仿宋" w:cs="仿宋"/>
          <w:sz w:val="28"/>
          <w:szCs w:val="28"/>
        </w:rPr>
        <w:t>采取闭卷考试方式，由省高师中心统一组织实施，试题为案例分析，满分100分，着重考察学员运用教育教学基本技能，《高等教育学》、《高等教育心理学》所学知识，分析和解决教育教学实际问题的能力。</w:t>
      </w:r>
      <w:r>
        <w:rPr>
          <w:rFonts w:hint="eastAsia" w:ascii="仿宋" w:hAnsi="仿宋" w:eastAsia="仿宋" w:cs="仿宋"/>
          <w:b/>
          <w:bCs/>
          <w:sz w:val="28"/>
          <w:szCs w:val="28"/>
        </w:rPr>
        <w:t>2022年《教育知识与能力》考试时间为8月26日。</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b/>
          <w:sz w:val="28"/>
          <w:szCs w:val="28"/>
        </w:rPr>
        <w:t>《高等教育法规概论》、《高校教师职业道德修养》</w:t>
      </w:r>
      <w:r>
        <w:rPr>
          <w:rFonts w:hint="eastAsia" w:ascii="仿宋" w:hAnsi="仿宋" w:eastAsia="仿宋" w:cs="仿宋"/>
          <w:sz w:val="28"/>
          <w:szCs w:val="28"/>
        </w:rPr>
        <w:t>两门课程的考核采取中心评分、集中培训评分、校本评分与线上学习评分相结合的评分方式，具体计算方式如下：</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《高等教育法规概论》、《高校教师职业道德修养》成绩=中心评分×60%+集中培训评分×15%+校本评分×15%+线上学习评分×10% 。</w:t>
      </w:r>
    </w:p>
    <w:p>
      <w:pPr>
        <w:spacing w:line="520" w:lineRule="exact"/>
        <w:ind w:firstLine="560" w:firstLineChars="200"/>
        <w:rPr>
          <w:rFonts w:ascii="仿宋" w:hAnsi="仿宋" w:eastAsia="仿宋" w:cs="仿宋"/>
          <w:b/>
          <w:bCs/>
          <w:sz w:val="28"/>
          <w:szCs w:val="28"/>
        </w:rPr>
      </w:pPr>
      <w:r>
        <w:rPr>
          <w:rFonts w:hint="eastAsia" w:ascii="仿宋" w:hAnsi="仿宋" w:eastAsia="仿宋" w:cs="仿宋"/>
          <w:sz w:val="28"/>
          <w:szCs w:val="28"/>
        </w:rPr>
        <w:t>中心评分采取论文评审方式，省高师中心组织专家对学员的《高等教育法规概论》、《高校教师职业道德修养》课程论文进行评分，每门课程满分100分。课程论文由学员自行登录高校新入职人员岗前培训系统（以下简称“岗前培训系统”）提交，并由参训高校对学员论文进行初审，审核通过后通过岗前培训系统提交省高师中心。各参训高校须按照岗前培训课程论文撰写要求对本校学员的课程论文进行初审，凡不符合要求的论文一律不允许提交。论文提交及审核时间为</w:t>
      </w:r>
      <w:r>
        <w:rPr>
          <w:rFonts w:hint="eastAsia" w:ascii="仿宋" w:hAnsi="仿宋" w:eastAsia="仿宋" w:cs="仿宋"/>
          <w:b/>
          <w:bCs/>
          <w:sz w:val="28"/>
          <w:szCs w:val="28"/>
        </w:rPr>
        <w:t>2022年8月21-25日。</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集中培训评分由承训点根据学员集中培训期间的考勤情况、课堂表现等综合表现评分，满分100分。承训点须于2022年8月21-25日通过岗前培训系统向省高师中心报送成绩（成绩以百分制计算）。</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校本评分由参训高校根据学员校本研修期间，两门课程学习及论文撰写情况、课堂表现、作业成果、考勤等相关表现评分，每门满分100分。参训高校须于2022年8月21-25日通过岗前培训系统向省高师中心报送成绩（成绩以百分制计算）。</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线上学习评分由省高师中心依据学员在规定时间内线上课程学习完成情况评分，学员完成或超过规定的40学时，计100分，若未完成规定学时数，则按照学员完成的学时数÷40（学时数）×100分计算（线上学习于7月14日-8月25日完成）。</w:t>
      </w:r>
    </w:p>
    <w:p>
      <w:pPr>
        <w:spacing w:line="520" w:lineRule="exact"/>
        <w:ind w:firstLine="562" w:firstLineChars="200"/>
        <w:rPr>
          <w:rFonts w:ascii="仿宋" w:hAnsi="仿宋" w:eastAsia="仿宋" w:cs="仿宋"/>
          <w:sz w:val="28"/>
          <w:szCs w:val="28"/>
        </w:rPr>
      </w:pPr>
      <w:r>
        <w:rPr>
          <w:rFonts w:hint="eastAsia" w:ascii="仿宋" w:hAnsi="仿宋" w:eastAsia="仿宋" w:cs="仿宋"/>
          <w:b/>
          <w:sz w:val="28"/>
          <w:szCs w:val="28"/>
        </w:rPr>
        <w:t>（二）结业与发证。</w:t>
      </w:r>
      <w:r>
        <w:rPr>
          <w:rFonts w:hint="eastAsia" w:ascii="仿宋" w:hAnsi="仿宋" w:eastAsia="仿宋" w:cs="仿宋"/>
          <w:sz w:val="28"/>
          <w:szCs w:val="28"/>
        </w:rPr>
        <w:t>三门课程成绩均合格者，颁发湖北省高等学校新入职人员岗前培训合格证书。考核的三门课程成绩中有一门不合格者，成绩有效期内可直接报考该课程的考核；两门及以上成绩不合格者，需重新报名参加岗前培训全阶段的培训及考核。</w:t>
      </w:r>
    </w:p>
    <w:p>
      <w:pPr>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五、网上报名与收费</w:t>
      </w:r>
    </w:p>
    <w:p>
      <w:pPr>
        <w:spacing w:line="520" w:lineRule="exact"/>
        <w:ind w:firstLine="562" w:firstLineChars="200"/>
        <w:rPr>
          <w:rFonts w:ascii="仿宋" w:hAnsi="仿宋" w:eastAsia="仿宋" w:cs="仿宋"/>
          <w:sz w:val="28"/>
          <w:szCs w:val="28"/>
        </w:rPr>
      </w:pPr>
      <w:r>
        <w:rPr>
          <w:rFonts w:hint="eastAsia" w:ascii="仿宋" w:hAnsi="仿宋" w:eastAsia="仿宋" w:cs="仿宋"/>
          <w:b/>
          <w:bCs/>
          <w:sz w:val="28"/>
          <w:szCs w:val="28"/>
        </w:rPr>
        <w:t>1.网上报名及审核。</w:t>
      </w:r>
      <w:r>
        <w:rPr>
          <w:rFonts w:hint="eastAsia" w:ascii="仿宋" w:hAnsi="仿宋" w:eastAsia="仿宋" w:cs="仿宋"/>
          <w:sz w:val="28"/>
          <w:szCs w:val="28"/>
        </w:rPr>
        <w:t>各参训高校应及时通知参训及补考人员在规定时间内进行网上报名，并对报名人员进行网上资格审核。各参训高校须对报名人员的参训参考资格和个人信息进行严格审核。系统中参训高校审核通过人员视为参训高校同意报送的最终确定人员（即缴费、参训、考试人员）。</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照片要求：近期彩色证件照，照片宽度114像素，高度156像素，大小不超过100K，格式：JPG/PNG；正面照，免冠，无头饰。因照片不合规，导致该生无法参加考试，相应结果由考生承担。</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补考人员用户名：身份证号   </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密码：身份证号后6位（末尾字母“X”与去年注册时填写的一致，注册时是大写就大写，是小写就小写）。</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学员网上报名时间：7月1-</w:t>
      </w:r>
      <w:r>
        <w:rPr>
          <w:rFonts w:hint="eastAsia" w:ascii="仿宋" w:hAnsi="仿宋" w:eastAsia="仿宋" w:cs="仿宋"/>
          <w:sz w:val="28"/>
          <w:szCs w:val="28"/>
          <w:lang w:val="en-US" w:eastAsia="zh-CN"/>
        </w:rPr>
        <w:t>7</w:t>
      </w:r>
      <w:r>
        <w:rPr>
          <w:rFonts w:hint="eastAsia" w:ascii="仿宋" w:hAnsi="仿宋" w:eastAsia="仿宋" w:cs="仿宋"/>
          <w:sz w:val="28"/>
          <w:szCs w:val="28"/>
        </w:rPr>
        <w:t>日</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报名及确认网址：http://39.100.64.169/ </w:t>
      </w:r>
    </w:p>
    <w:p>
      <w:pPr>
        <w:spacing w:line="520" w:lineRule="exact"/>
        <w:ind w:firstLine="562" w:firstLineChars="200"/>
        <w:rPr>
          <w:rFonts w:ascii="仿宋" w:hAnsi="仿宋" w:eastAsia="仿宋" w:cs="仿宋"/>
          <w:sz w:val="28"/>
          <w:szCs w:val="28"/>
        </w:rPr>
      </w:pPr>
      <w:r>
        <w:rPr>
          <w:rFonts w:hint="eastAsia" w:ascii="仿宋" w:hAnsi="仿宋" w:eastAsia="仿宋" w:cs="仿宋"/>
          <w:b/>
          <w:bCs/>
          <w:sz w:val="28"/>
          <w:szCs w:val="28"/>
        </w:rPr>
        <w:t>2.收费。</w:t>
      </w:r>
      <w:r>
        <w:rPr>
          <w:rFonts w:hint="eastAsia" w:ascii="仿宋" w:hAnsi="仿宋" w:eastAsia="仿宋" w:cs="仿宋"/>
          <w:sz w:val="28"/>
          <w:szCs w:val="28"/>
        </w:rPr>
        <w:t>依据省发改委备案的收费标准，培训收取培训费440元/人、线上学习费80元/人、考试费120元/人，补考免收考试费。培训费、线上学习费、考试费由参训高校统一收取后交所属承训点。</w:t>
      </w:r>
    </w:p>
    <w:p>
      <w:pPr>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六、有关要求 </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今年岗前培训工作要以“安全、平稳、科学”为目标，统筹抓好常态化疫情防控和培训工作，保障参训学员和工作人员生命安全和身体健康，保障培训工作平稳顺利。</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1.做好安全防控。各承训点、参训高校在坚持以往培训安全工作举措的基础上，要结合各地疫情实际情况，统筹抓好疫情防控工作，制定培训期间疫情防控工作方案，明确疫情防控工作标准，细化培训场所防疫举措，开展全覆盖的防疫和安全教育，并认真落实好防暑降温等服务保障措施，确保培训工作安全有序。</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2.把准培训目标。《国家教育事业发展“十三五”规划》中明确指出：“严格教师职业准入，将新入职教师岗前培训和教育实习作为取得高校教师资格的必备条件”，各承训点、参训高校必须抓好新入职教师入口关，充分发挥岗前培训的引导和引领作用，为新入职教师成长奠定坚实基础。</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3.精心组织教学。各承训点、参训高校要切实按照教育部、省教育厅的文件精神和本方案的要求认真组织教学，确保培训质量。培训内容按照可学、好学、有用、好用的原则，选聘一批师德正、水平高、有情怀、善创新的授课教师，以灵活多样的方式呈献给参训学员。要选派经验丰富的班主任负责学员管理和服务工作，并将授课教师和班主任人选的基本情况纳入培训方案中。</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4.严格组织管理。承训点、参训高校须制定岗前培训工作方案，确保岗前培训工作顺利实施。各承训点的集中培训和参训高校的校本研修均应加强考勤管理，严肃课堂纪律。学员的考勤情况应纳入集中培训、校本研修的考核指标中，将其结果作为集中培训评分、校本评分的重要依据。</w:t>
      </w:r>
      <w:r>
        <w:rPr>
          <w:rFonts w:hint="eastAsia" w:ascii="仿宋" w:hAnsi="仿宋" w:eastAsia="仿宋" w:cs="仿宋"/>
          <w:b/>
          <w:bCs/>
          <w:sz w:val="28"/>
          <w:szCs w:val="28"/>
        </w:rPr>
        <w:t>集中培训、校本研修期间，任一阶段学员旷课累计三个半天者，相应评分计为0分。</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5.规范组织考试。各考点考务工作必须严格按照《岗前培训集中考试组考方案》组织实施，各考点的组考方案须在集中考试前一周上报省高师中心。</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6.加强监督检查。省高师中心将对各承训点的集中培训、参训高校的校本研修工作适时进行检查，并对考点的组考工作进行巡视。工作结束后，各承训点、考点须上报自评报告，校本研修特色鲜明的参训高校可上报总结材料。自评报告和总结材料须于2022年9月底报省高师中心，以作为承训点、考点和参训高校评奖评先的重要依据。</w:t>
      </w:r>
    </w:p>
    <w:p>
      <w:pPr>
        <w:spacing w:line="52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八、联系方式 </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联系单位：湖北省高等学校师资培训中心（武汉市武昌区友谊大道368号湖北大学武昌主校区内）。</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联系人：刘老师  027-88663312</w:t>
      </w:r>
    </w:p>
    <w:p>
      <w:pPr>
        <w:jc w:val="left"/>
        <w:rPr>
          <w:rFonts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sz w:val="28"/>
          <w:szCs w:val="28"/>
        </w:rPr>
        <w:t>附件2：</w:t>
      </w:r>
    </w:p>
    <w:p>
      <w:pPr>
        <w:spacing w:line="520" w:lineRule="exact"/>
        <w:jc w:val="center"/>
        <w:rPr>
          <w:rFonts w:hint="eastAsia" w:ascii="仿宋" w:hAnsi="仿宋" w:eastAsia="仿宋" w:cs="仿宋"/>
          <w:b/>
          <w:bCs/>
          <w:sz w:val="32"/>
          <w:szCs w:val="32"/>
        </w:rPr>
      </w:pPr>
      <w:r>
        <w:rPr>
          <w:rFonts w:hint="eastAsia" w:ascii="仿宋" w:hAnsi="仿宋" w:eastAsia="仿宋" w:cs="仿宋"/>
          <w:b/>
          <w:bCs/>
          <w:sz w:val="32"/>
          <w:szCs w:val="32"/>
        </w:rPr>
        <w:t>2022年岗前培训注意事项（报名阶段）</w:t>
      </w:r>
    </w:p>
    <w:p>
      <w:pPr>
        <w:spacing w:line="520" w:lineRule="exact"/>
        <w:ind w:firstLine="560" w:firstLineChars="200"/>
        <w:rPr>
          <w:rFonts w:hint="eastAsia" w:ascii="仿宋" w:hAnsi="仿宋" w:eastAsia="仿宋" w:cs="仿宋"/>
          <w:sz w:val="28"/>
          <w:szCs w:val="28"/>
        </w:rPr>
      </w:pP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一、报名</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报名时间：2022年7月1日8:30-7月</w:t>
      </w:r>
      <w:r>
        <w:rPr>
          <w:rFonts w:hint="eastAsia" w:ascii="仿宋" w:hAnsi="仿宋" w:eastAsia="仿宋" w:cs="仿宋"/>
          <w:sz w:val="28"/>
          <w:szCs w:val="28"/>
          <w:lang w:val="en-US" w:eastAsia="zh-CN"/>
        </w:rPr>
        <w:t>7</w:t>
      </w:r>
      <w:r>
        <w:rPr>
          <w:rFonts w:hint="eastAsia" w:ascii="仿宋" w:hAnsi="仿宋" w:eastAsia="仿宋" w:cs="仿宋"/>
          <w:sz w:val="28"/>
          <w:szCs w:val="28"/>
        </w:rPr>
        <w:t>日17:00</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请通知学员务必要在此期间完成网上报名，7月</w:t>
      </w:r>
      <w:r>
        <w:rPr>
          <w:rFonts w:hint="eastAsia" w:ascii="仿宋" w:hAnsi="仿宋" w:eastAsia="仿宋" w:cs="仿宋"/>
          <w:sz w:val="28"/>
          <w:szCs w:val="28"/>
          <w:lang w:val="en-US" w:eastAsia="zh-CN"/>
        </w:rPr>
        <w:t>7</w:t>
      </w:r>
      <w:r>
        <w:rPr>
          <w:rFonts w:hint="eastAsia" w:ascii="仿宋" w:hAnsi="仿宋" w:eastAsia="仿宋" w:cs="仿宋"/>
          <w:sz w:val="28"/>
          <w:szCs w:val="28"/>
        </w:rPr>
        <w:t>日17:00系统将自动关闭无法报名！</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报名网址：http://39.100.64.169/ （建议用火狐浏览器）</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系统报名步骤：可参考“2022年岗前培训操作手册（报名系统+网上学习平台）”中报名系统的操作手册，简要说明如下：</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正考学员：注册→登录→修改密码→①个人资料管理：需要完成“上传照片”和“填写资料”（请务必确保填写资料时，输入的各项信息前后没有空格！）→②报考科目→③资料审核（即：高校审核→承训点审核→高师中心审核）</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补考学员：登录（用户名、密码见培训通知）→修改密码→①个人资料管理：需要重新完成“上传照片”和“填写资料”（如信息有变化，请直接修改后提交；如无变化，可直接提交。）→②报考科目→③资料审核（即：高校审核→承训点审核→高师中心审核）</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网上报名成功后</w:t>
      </w:r>
      <w:r>
        <w:rPr>
          <w:rFonts w:hint="eastAsia" w:ascii="仿宋" w:hAnsi="仿宋" w:eastAsia="仿宋" w:cs="仿宋"/>
          <w:b/>
          <w:bCs/>
          <w:sz w:val="28"/>
          <w:szCs w:val="28"/>
        </w:rPr>
        <w:t>请务必牢记本人的用户名和密码</w:t>
      </w:r>
      <w:r>
        <w:rPr>
          <w:rFonts w:hint="eastAsia" w:ascii="仿宋" w:hAnsi="仿宋" w:eastAsia="仿宋" w:cs="仿宋"/>
          <w:sz w:val="28"/>
          <w:szCs w:val="28"/>
        </w:rPr>
        <w:t>，以免后期无法打印准考证和查询成绩。</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学员密码找回：学员可凭注册时的密保问题自行找回密码（请务必牢记密保问题的答案），也可由本高校工作人员登录学校管理员账号找回。</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二、网上学习</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网上学习时间：2022年7月14日-8月25日</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网上学习网址：</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"http://hubeigs.zymreal.com/resource" </w:instrText>
      </w:r>
      <w:r>
        <w:rPr>
          <w:rFonts w:hint="eastAsia" w:ascii="仿宋" w:hAnsi="仿宋" w:eastAsia="仿宋" w:cs="仿宋"/>
          <w:sz w:val="28"/>
          <w:szCs w:val="28"/>
        </w:rPr>
        <w:fldChar w:fldCharType="separate"/>
      </w:r>
      <w:r>
        <w:rPr>
          <w:rFonts w:hint="eastAsia" w:ascii="仿宋" w:hAnsi="仿宋" w:eastAsia="仿宋" w:cs="仿宋"/>
          <w:sz w:val="28"/>
          <w:szCs w:val="28"/>
        </w:rPr>
        <w:t>http://hubeigs.zymreal.com/resource</w:t>
      </w:r>
      <w:r>
        <w:rPr>
          <w:rFonts w:hint="eastAsia" w:ascii="仿宋" w:hAnsi="仿宋" w:eastAsia="仿宋" w:cs="仿宋"/>
          <w:sz w:val="28"/>
          <w:szCs w:val="28"/>
        </w:rPr>
        <w:fldChar w:fldCharType="end"/>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用户名：身份证号   初始密码：身份证后六位（末尾字母“X”为大写）。</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密码找回：学员可通过手机验证码找回密码。</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账户冻结：连续输错密码5次，账号将被冻结，冻结后需高校管理员解除冻结才能继续找回密码，或通过密码登录。</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注：1.学员账号冻结，需通过所属高校管理员账号重置密码解除冻结。</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2.密码连续输错3次时，请提前点击“找回密码”，避免账号冻结。</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3.无法重置密码、或账号冻结都请通过所属高校管理员重置密码。</w:t>
      </w:r>
    </w:p>
    <w:p>
      <w:pPr>
        <w:spacing w:line="52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学时计算：学习视频课程40分钟记1学时，学员需完成或超过40学时。</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、说明</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、费用说明。补考人员不用交任何费用。</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、补考人员说明。</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2021年考核未通过学员，如果是一门没通过，为今年的补考学员。补考学员不用再次参训学习，只需补考相关科目的考试，但必须于7月1-</w:t>
      </w:r>
      <w:r>
        <w:rPr>
          <w:rFonts w:hint="eastAsia" w:ascii="仿宋" w:hAnsi="仿宋" w:eastAsia="仿宋" w:cs="仿宋"/>
          <w:sz w:val="28"/>
          <w:szCs w:val="28"/>
          <w:lang w:val="en-US" w:eastAsia="zh-CN"/>
        </w:rPr>
        <w:t>7</w:t>
      </w:r>
      <w:r>
        <w:rPr>
          <w:rFonts w:hint="eastAsia" w:ascii="仿宋" w:hAnsi="仿宋" w:eastAsia="仿宋" w:cs="仿宋"/>
          <w:sz w:val="28"/>
          <w:szCs w:val="28"/>
        </w:rPr>
        <w:t>日期间在系统中报名。补考《教育知识与能力》（即笔试科目）的学员，</w:t>
      </w:r>
      <w:r>
        <w:rPr>
          <w:rFonts w:hint="eastAsia" w:ascii="仿宋" w:hAnsi="仿宋" w:eastAsia="仿宋" w:cs="仿宋"/>
          <w:b/>
          <w:bCs/>
          <w:sz w:val="28"/>
          <w:szCs w:val="28"/>
        </w:rPr>
        <w:t>参加8月26日的考试</w:t>
      </w:r>
      <w:r>
        <w:rPr>
          <w:rFonts w:hint="eastAsia" w:ascii="仿宋" w:hAnsi="仿宋" w:eastAsia="仿宋" w:cs="仿宋"/>
          <w:sz w:val="28"/>
          <w:szCs w:val="28"/>
        </w:rPr>
        <w:t>；补考两门论文课其中任意一门的学员，在8月21-25日期间登录系统提交相应科目的论文，并由高校审核。</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如果是两门或三门没通过，为重修学员。重修学员需重新报名、缴费，并完成全部培训学习及考核环节。</w:t>
      </w:r>
    </w:p>
    <w:p>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不论哪种学员，都必须在报名期间（7.1-7.</w:t>
      </w:r>
      <w:r>
        <w:rPr>
          <w:rFonts w:hint="eastAsia" w:ascii="仿宋" w:hAnsi="仿宋" w:eastAsia="仿宋" w:cs="仿宋"/>
          <w:sz w:val="28"/>
          <w:szCs w:val="28"/>
          <w:lang w:val="en-US" w:eastAsia="zh-CN"/>
        </w:rPr>
        <w:t>7</w:t>
      </w:r>
      <w:r>
        <w:rPr>
          <w:rFonts w:hint="eastAsia" w:ascii="仿宋" w:hAnsi="仿宋" w:eastAsia="仿宋" w:cs="仿宋"/>
          <w:sz w:val="28"/>
          <w:szCs w:val="28"/>
        </w:rPr>
        <w:t>），于岗前培训系统中完成报名及审核程序。</w:t>
      </w:r>
    </w:p>
    <w:p>
      <w:pPr>
        <w:spacing w:line="520" w:lineRule="exact"/>
        <w:ind w:firstLine="560" w:firstLineChars="200"/>
        <w:rPr>
          <w:rFonts w:hint="eastAsia" w:ascii="仿宋" w:hAnsi="仿宋" w:eastAsia="仿宋" w:cs="仿宋"/>
          <w:sz w:val="28"/>
          <w:szCs w:val="28"/>
        </w:rPr>
      </w:pPr>
    </w:p>
    <w:p>
      <w:pPr>
        <w:spacing w:line="500" w:lineRule="exact"/>
        <w:ind w:firstLine="560" w:firstLineChars="200"/>
        <w:rPr>
          <w:rFonts w:ascii="仿宋" w:hAnsi="仿宋" w:eastAsia="仿宋" w:cs="仿宋"/>
          <w:sz w:val="28"/>
          <w:szCs w:val="28"/>
        </w:rPr>
      </w:pPr>
      <w:r>
        <w:rPr>
          <w:rFonts w:ascii="仿宋" w:hAnsi="仿宋" w:eastAsia="仿宋" w:cs="仿宋"/>
          <w:sz w:val="28"/>
          <w:szCs w:val="28"/>
        </w:rPr>
        <w:br w:type="page"/>
      </w:r>
    </w:p>
    <w:p>
      <w:pPr>
        <w:adjustRightInd w:val="0"/>
        <w:snapToGrid w:val="0"/>
        <w:spacing w:line="500" w:lineRule="exact"/>
        <w:jc w:val="left"/>
        <w:rPr>
          <w:rFonts w:ascii="仿宋" w:hAnsi="仿宋" w:eastAsia="仿宋" w:cs="仿宋"/>
          <w:sz w:val="28"/>
          <w:szCs w:val="28"/>
        </w:rPr>
      </w:pPr>
      <w:r>
        <w:rPr>
          <w:rFonts w:hint="eastAsia" w:ascii="仿宋" w:hAnsi="仿宋" w:eastAsia="仿宋" w:cs="仿宋"/>
          <w:sz w:val="28"/>
          <w:szCs w:val="28"/>
        </w:rPr>
        <w:t>附件4：</w:t>
      </w:r>
    </w:p>
    <w:p>
      <w:pPr>
        <w:spacing w:line="460" w:lineRule="exact"/>
        <w:jc w:val="center"/>
        <w:rPr>
          <w:rFonts w:ascii="仿宋" w:hAnsi="仿宋" w:eastAsia="仿宋" w:cs="仿宋"/>
          <w:b/>
          <w:sz w:val="32"/>
          <w:szCs w:val="32"/>
        </w:rPr>
      </w:pPr>
      <w:r>
        <w:rPr>
          <w:rFonts w:hint="eastAsia" w:ascii="仿宋" w:hAnsi="仿宋" w:eastAsia="仿宋" w:cs="仿宋"/>
          <w:b/>
          <w:sz w:val="32"/>
          <w:szCs w:val="32"/>
        </w:rPr>
        <w:t>湖北省高等学校师资培训中心参训学员守则</w:t>
      </w:r>
    </w:p>
    <w:p>
      <w:pPr>
        <w:spacing w:line="460" w:lineRule="exact"/>
        <w:ind w:firstLine="560" w:firstLineChars="200"/>
        <w:jc w:val="left"/>
        <w:rPr>
          <w:rFonts w:ascii="仿宋" w:hAnsi="仿宋" w:eastAsia="仿宋" w:cs="仿宋"/>
          <w:sz w:val="28"/>
          <w:szCs w:val="28"/>
        </w:rPr>
      </w:pPr>
    </w:p>
    <w:p>
      <w:pPr>
        <w:spacing w:line="4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为进一步规范教学管理，提升非学历继续教育的教学质量，切实保障学员培训期间的学习成果、生活秩序和人身安全，特制订本守则。</w:t>
      </w:r>
    </w:p>
    <w:p>
      <w:pPr>
        <w:spacing w:line="460" w:lineRule="exact"/>
        <w:ind w:firstLine="610" w:firstLineChars="218"/>
        <w:jc w:val="left"/>
        <w:rPr>
          <w:rFonts w:ascii="仿宋" w:hAnsi="仿宋" w:eastAsia="仿宋" w:cs="仿宋"/>
          <w:sz w:val="28"/>
          <w:szCs w:val="28"/>
        </w:rPr>
      </w:pPr>
      <w:r>
        <w:rPr>
          <w:rFonts w:hint="eastAsia" w:ascii="仿宋" w:hAnsi="仿宋" w:eastAsia="仿宋" w:cs="仿宋"/>
          <w:sz w:val="28"/>
          <w:szCs w:val="28"/>
        </w:rPr>
        <w:t>一、所有参加培训的学员应尽快实现角色转换，树立学员意识，端正学习态度，遵守培训期间的各项规定，切实履行培训项目组的计划和安排。不得找人代训，不得搞任何形式的特殊化，集中精力参加培训学习，认真完成培训任务。</w:t>
      </w:r>
    </w:p>
    <w:p>
      <w:pPr>
        <w:spacing w:line="460" w:lineRule="exact"/>
        <w:ind w:firstLine="610" w:firstLineChars="218"/>
        <w:jc w:val="left"/>
        <w:rPr>
          <w:rFonts w:ascii="仿宋" w:hAnsi="仿宋" w:eastAsia="仿宋" w:cs="仿宋"/>
          <w:sz w:val="28"/>
          <w:szCs w:val="28"/>
        </w:rPr>
      </w:pPr>
      <w:r>
        <w:rPr>
          <w:rFonts w:hint="eastAsia" w:ascii="仿宋" w:hAnsi="仿宋" w:eastAsia="仿宋" w:cs="仿宋"/>
          <w:sz w:val="28"/>
          <w:szCs w:val="28"/>
        </w:rPr>
        <w:t>二、厘清学习思路，调适和改进学习方法，理论联系实际，提高学习的针对性、时效性。明确培训目标、任务和教学计划，认真听讲，积极讨论，保质保量完成学习任务。</w:t>
      </w:r>
    </w:p>
    <w:p>
      <w:pPr>
        <w:spacing w:line="460" w:lineRule="exact"/>
        <w:ind w:firstLine="610" w:firstLineChars="218"/>
        <w:jc w:val="left"/>
        <w:rPr>
          <w:rFonts w:ascii="仿宋" w:hAnsi="仿宋" w:eastAsia="仿宋" w:cs="仿宋"/>
          <w:sz w:val="28"/>
          <w:szCs w:val="28"/>
        </w:rPr>
      </w:pPr>
      <w:r>
        <w:rPr>
          <w:rFonts w:hint="eastAsia" w:ascii="仿宋" w:hAnsi="仿宋" w:eastAsia="仿宋" w:cs="仿宋"/>
          <w:sz w:val="28"/>
          <w:szCs w:val="28"/>
        </w:rPr>
        <w:t>三、遵守课堂纪律，不迟到、不早退，上课期间不随意出入教室；按座位桌贴位置入座，不得自行挪动或撤消桌贴；不得在教室里吸烟、接打电话或交头接耳；讲究公共卫生，不在教室内饮食，不乱扔垃圾。</w:t>
      </w:r>
    </w:p>
    <w:p>
      <w:pPr>
        <w:spacing w:line="460" w:lineRule="exact"/>
        <w:ind w:firstLine="610" w:firstLineChars="218"/>
        <w:jc w:val="left"/>
        <w:rPr>
          <w:rFonts w:ascii="仿宋" w:hAnsi="仿宋" w:eastAsia="仿宋" w:cs="仿宋"/>
          <w:sz w:val="28"/>
          <w:szCs w:val="28"/>
        </w:rPr>
      </w:pPr>
      <w:r>
        <w:rPr>
          <w:rFonts w:hint="eastAsia" w:ascii="仿宋" w:hAnsi="仿宋" w:eastAsia="仿宋" w:cs="仿宋"/>
          <w:sz w:val="28"/>
          <w:szCs w:val="28"/>
        </w:rPr>
        <w:t>四、进入校园请佩戴学员证，培训期间按要求着装；妥善保管就餐卡，一经遗失，不予补发。</w:t>
      </w:r>
    </w:p>
    <w:p>
      <w:pPr>
        <w:spacing w:line="4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五、严格考勤，学员应坚持全程学习，不允许无故旷课，如有特殊情况需请假，须向班主任提交书面请假条；学员考勤及学业鉴定等相关信息将报送各单位管理部门，对于出现以下情况之一者，相应评分计为0分：（1）旷课3次（累计三个半天及以上）；（2）未按要求提交作业2次及以上。</w:t>
      </w:r>
    </w:p>
    <w:p>
      <w:pPr>
        <w:spacing w:line="460" w:lineRule="exact"/>
        <w:ind w:firstLine="610" w:firstLineChars="218"/>
        <w:jc w:val="left"/>
        <w:rPr>
          <w:rFonts w:hint="eastAsia" w:ascii="仿宋" w:hAnsi="仿宋" w:eastAsia="仿宋" w:cs="仿宋"/>
          <w:sz w:val="28"/>
          <w:szCs w:val="28"/>
        </w:rPr>
      </w:pPr>
      <w:r>
        <w:rPr>
          <w:rFonts w:hint="eastAsia" w:ascii="仿宋" w:hAnsi="仿宋" w:eastAsia="仿宋" w:cs="仿宋"/>
          <w:sz w:val="28"/>
          <w:szCs w:val="28"/>
        </w:rPr>
        <w:t>六、切实践行中央关于改进</w:t>
      </w:r>
      <w:r>
        <w:fldChar w:fldCharType="begin"/>
      </w:r>
      <w:r>
        <w:instrText xml:space="preserve"> HYPERLINK "http://baike.baidu.com/view/5604113.htm" \t "_blank" </w:instrText>
      </w:r>
      <w:r>
        <w:fldChar w:fldCharType="separate"/>
      </w:r>
      <w:r>
        <w:rPr>
          <w:rFonts w:hint="eastAsia" w:ascii="仿宋" w:hAnsi="仿宋" w:eastAsia="仿宋" w:cs="仿宋"/>
          <w:sz w:val="28"/>
          <w:szCs w:val="28"/>
        </w:rPr>
        <w:t>工作作风</w:t>
      </w:r>
      <w:r>
        <w:rPr>
          <w:rFonts w:hint="eastAsia" w:ascii="仿宋" w:hAnsi="仿宋" w:eastAsia="仿宋" w:cs="仿宋"/>
          <w:sz w:val="28"/>
          <w:szCs w:val="28"/>
        </w:rPr>
        <w:fldChar w:fldCharType="end"/>
      </w:r>
      <w:r>
        <w:rPr>
          <w:rFonts w:hint="eastAsia" w:ascii="仿宋" w:hAnsi="仿宋" w:eastAsia="仿宋" w:cs="仿宋"/>
          <w:sz w:val="28"/>
          <w:szCs w:val="28"/>
        </w:rPr>
        <w:t>、密切联系群众的八项规定等文件精神，培训期间学员之间、学员与教师之间不得用公款相互宴请，不得赠送或接受礼品、礼金、礼券，不得因饮酒醉酒影响学习，尽量在校内餐厅就餐，不得以班级聚会名义在校外高级场所吃喝玩乐。一经发现，视情节轻重予以提醒和警告，情节严重或造成一定社会影响的将报送所在单位或地方管理机关，按规定处理。</w:t>
      </w:r>
      <w:bookmarkStart w:id="0" w:name="_GoBack"/>
      <w:bookmarkEnd w:id="0"/>
    </w:p>
    <w:p>
      <w:pPr>
        <w:jc w:val="left"/>
        <w:rPr>
          <w:rFonts w:ascii="仿宋" w:hAnsi="仿宋" w:eastAsia="仿宋" w:cs="仿宋"/>
          <w:sz w:val="28"/>
          <w:szCs w:val="28"/>
        </w:rPr>
      </w:pPr>
      <w:r>
        <w:rPr>
          <w:rFonts w:hint="eastAsia" w:ascii="仿宋" w:hAnsi="仿宋" w:eastAsia="仿宋" w:cs="仿宋"/>
          <w:sz w:val="28"/>
          <w:szCs w:val="28"/>
        </w:rPr>
        <w:t>附件</w:t>
      </w:r>
      <w:r>
        <w:rPr>
          <w:rFonts w:hint="eastAsia" w:ascii="仿宋" w:hAnsi="仿宋" w:eastAsia="仿宋" w:cs="仿宋"/>
          <w:sz w:val="28"/>
          <w:szCs w:val="28"/>
          <w:lang w:val="en-US" w:eastAsia="zh-CN"/>
        </w:rPr>
        <w:t>5</w:t>
      </w:r>
      <w:r>
        <w:rPr>
          <w:rFonts w:hint="eastAsia" w:ascii="仿宋" w:hAnsi="仿宋" w:eastAsia="仿宋" w:cs="仿宋"/>
          <w:sz w:val="28"/>
          <w:szCs w:val="28"/>
        </w:rPr>
        <w:t>：</w:t>
      </w:r>
    </w:p>
    <w:p>
      <w:pPr>
        <w:spacing w:line="560" w:lineRule="exact"/>
        <w:jc w:val="center"/>
        <w:outlineLvl w:val="0"/>
        <w:rPr>
          <w:rFonts w:ascii="仿宋" w:hAnsi="仿宋" w:eastAsia="仿宋" w:cs="仿宋"/>
          <w:b/>
          <w:sz w:val="32"/>
          <w:szCs w:val="32"/>
        </w:rPr>
      </w:pPr>
      <w:r>
        <w:rPr>
          <w:rFonts w:hint="eastAsia" w:ascii="仿宋" w:hAnsi="仿宋" w:eastAsia="仿宋" w:cs="仿宋"/>
          <w:b/>
          <w:sz w:val="32"/>
          <w:szCs w:val="32"/>
        </w:rPr>
        <w:t>2022年湖北省高校新入职人员岗前培训</w:t>
      </w:r>
    </w:p>
    <w:p>
      <w:pPr>
        <w:spacing w:line="500" w:lineRule="exact"/>
        <w:jc w:val="center"/>
        <w:outlineLvl w:val="0"/>
        <w:rPr>
          <w:rFonts w:hint="eastAsia" w:ascii="仿宋" w:hAnsi="仿宋" w:eastAsia="仿宋" w:cs="仿宋"/>
          <w:b/>
          <w:sz w:val="28"/>
          <w:szCs w:val="28"/>
        </w:rPr>
      </w:pPr>
      <w:r>
        <w:rPr>
          <w:rFonts w:hint="eastAsia" w:ascii="仿宋" w:hAnsi="仿宋" w:eastAsia="仿宋" w:cs="仿宋"/>
          <w:b/>
          <w:sz w:val="32"/>
          <w:szCs w:val="32"/>
        </w:rPr>
        <w:t>疫情防控工作方案</w:t>
      </w:r>
      <w:r>
        <w:rPr>
          <w:rFonts w:hint="eastAsia" w:ascii="仿宋" w:hAnsi="仿宋" w:eastAsia="仿宋" w:cs="仿宋"/>
          <w:b/>
          <w:sz w:val="32"/>
          <w:szCs w:val="32"/>
        </w:rPr>
        <w:br w:type="textWrapping"/>
      </w:r>
      <w:r>
        <w:rPr>
          <w:rFonts w:hint="eastAsia" w:ascii="仿宋" w:hAnsi="仿宋" w:eastAsia="仿宋" w:cs="仿宋"/>
          <w:b/>
          <w:sz w:val="28"/>
          <w:szCs w:val="28"/>
        </w:rPr>
        <w:t xml:space="preserve">    </w:t>
      </w:r>
    </w:p>
    <w:p>
      <w:pPr>
        <w:spacing w:line="500" w:lineRule="exact"/>
        <w:jc w:val="left"/>
        <w:outlineLvl w:val="0"/>
        <w:rPr>
          <w:rFonts w:ascii="仿宋" w:hAnsi="仿宋" w:eastAsia="仿宋" w:cs="仿宋"/>
          <w:sz w:val="28"/>
          <w:szCs w:val="28"/>
        </w:rPr>
      </w:pPr>
      <w:r>
        <w:rPr>
          <w:rFonts w:hint="eastAsia" w:ascii="仿宋" w:hAnsi="仿宋" w:eastAsia="仿宋" w:cs="仿宋"/>
          <w:b/>
          <w:sz w:val="28"/>
          <w:szCs w:val="28"/>
          <w:lang w:val="en-US" w:eastAsia="zh-CN"/>
        </w:rPr>
        <w:t xml:space="preserve">    </w:t>
      </w:r>
      <w:r>
        <w:rPr>
          <w:rFonts w:hint="eastAsia" w:ascii="仿宋" w:hAnsi="仿宋" w:eastAsia="仿宋" w:cs="仿宋"/>
          <w:sz w:val="28"/>
          <w:szCs w:val="28"/>
        </w:rPr>
        <w:t>根据省教育厅统一部署和要求，为全力做好常态化疫情防控下岗前培训组织工作，根据《湖北省高校新冠肺炎疫情防控技术指导方案》、《湖北省学校疫情防控应急处置预案》等文件，结合实际，制订本工作方案。</w:t>
      </w:r>
    </w:p>
    <w:p>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一、组织领导</w:t>
      </w:r>
    </w:p>
    <w:p>
      <w:pPr>
        <w:spacing w:line="500" w:lineRule="exact"/>
        <w:ind w:firstLine="560" w:firstLineChars="200"/>
        <w:rPr>
          <w:rFonts w:ascii="仿宋" w:hAnsi="仿宋" w:eastAsia="仿宋" w:cs="仿宋"/>
          <w:b/>
          <w:sz w:val="28"/>
          <w:szCs w:val="28"/>
        </w:rPr>
      </w:pPr>
      <w:r>
        <w:rPr>
          <w:rFonts w:hint="eastAsia" w:ascii="仿宋" w:hAnsi="仿宋" w:eastAsia="仿宋" w:cs="仿宋"/>
          <w:sz w:val="28"/>
          <w:szCs w:val="28"/>
        </w:rPr>
        <w:t>各承训点、参训高校深入研判当地疫情情况，确定培训时间、培训场地，详细制定疫情防控的工作标准，加强培训组织管理各环节的防疫措施。各承训点、参训高校的疫情防控工作方案须经所在高校疫情防控指挥部审定，方可开展培训。考点高校需将岗前培训考试疫情防控方案报所在学校疫情防控指挥部审定后实施。</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各承训点、参训高校成立高校新入职人员岗前培训疫情防控工作组（以下简称“培训防控组”），负责培训全过程的疫情防控工作。培训防控组组长由学校分管领导担任，成员由防控相关职能部门和单位负责人组成。</w:t>
      </w:r>
    </w:p>
    <w:p>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二、工作人员及参训学员防疫要求</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（一）加强培训工作人员选聘，选聘的工作人员要求持有健康码“绿码”和通信大数据行程卡“绿码”，体温正常且无新冠肺炎病史、隔离史和接触史。</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（二）工作人员在培训开始前14天期间进行日常体温测量和身体健康状况监测，做到每天体温测量并记录。</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（三）在对工作人员进行业务培训时，增加疫情防控及应急处置等方面的培训，确保工作人员熟练掌握防控基本技能和突发情况的处理流程，做好治安、出行、餐饮、卫生等方面的服务。</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四）参训学员和参训高校带队老师要求持有健康码“绿码”和通信大数据行程卡“绿码”，每日须进行体温测量并如实填写《承诺书》，报到时将《承诺书》交承训点。培训前有发热（超过37.3℃标准体温）的学员，务必前往当地定点医疗机构发热门诊做进一步检测。</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（五）参训学员和参训高校带队老师须严格遵守防控工作要求，进出学校服从承训点、参训高校所在学校校园出入管理的规定，自觉接受监督检查。</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（六）参训学员和参训高校带队老师每天至少准备2只口罩，培训期间均须佩戴口罩，使用后的口罩应弃入废弃口罩专用垃圾桶。学员在进食或喝水时应与周围学员保持一定距离，减少因摘下口罩而带来的风险。</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（七）参训学员进入校园后，当天培训结束前非必要不得离开学校，实行封闭管理。校内需设休息点供学员就餐、休息。</w:t>
      </w:r>
    </w:p>
    <w:p>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三、培训场所防疫要求</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（一）培训场所须采光、通风充分，清洁卫生、桌椅整齐，不堆放多余的桌椅及杂物。培训期间门窗不要完全闭合，也可使用电风扇等设备加强通风。</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（二）培训场所参训学员原则上单人单座,间隔就坐。</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（三）培训场所入口、培训工作办公室、卫生间配备消毒酒精或洗手液等物品，供参训学员和工作人员使用。</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（四）培训开始前，对培训场所、通道、培训设备、器材等进行全面环境卫生清洁与消毒，至少一次彻底的卫生大扫除和至少一次预防性消毒，消毒后要进行通风，明确张贴完成标识。</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（五）培训期间，每天培训结束后，对培训场所所有区域进行一次消杀。培训场所内的卫生间消杀工作，培训期间在学员上课时间段每半天进行一次。</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（六）在培训场所显著位置，办公室外等重点位置，放置口罩专用回收垃圾桶。</w:t>
      </w:r>
    </w:p>
    <w:p>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四、防控区域设置</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为减少人员聚集，切实保证参训学员和工作人员的人身安全，设置以下防控区域：</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（一）测温区</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测温区由工作人员使用手持红外线测温枪，在参训学员和工作人员通过时进行测温。</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（二）候测区</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设置体温候测区，在地面贴引导地标，间隔1米。学员进入培训场所前，依次在地标前等候工作人员指令前进。</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（三）临时隔离区</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在测温区旁边设置临时隔离区，如发现体温监测异常学员，马上转移到临时隔离区进行进一步监测，对于体温仍然异常的学员，由医护人员立即联系属地疫情防控部门安排专车转运发热患者到指定医院的发热门诊，并立即上报培训防控组。</w:t>
      </w:r>
    </w:p>
    <w:p>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五、应急处置</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（一）在培训期间监测、检查发现学员有发热等身体异常情况的，立即上报培训防控组，由专人将异常人员送至临时隔离区隔离，并对前期活动场地立即进行严格消毒。</w:t>
      </w:r>
    </w:p>
    <w:p>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（二）安排专业医护人员对异常人员进行预诊，预诊结果为发热患者的，立即送往指定医院的发热门诊检测、治疗。经指定医院诊断后，排除新冠肺炎且体温正常，学员可参加培训。</w:t>
      </w:r>
    </w:p>
    <w:p>
      <w:pPr>
        <w:spacing w:line="460" w:lineRule="exact"/>
        <w:jc w:val="left"/>
        <w:rPr>
          <w:rFonts w:ascii="仿宋" w:hAnsi="仿宋" w:eastAsia="仿宋" w:cs="仿宋"/>
          <w:sz w:val="28"/>
          <w:szCs w:val="28"/>
        </w:rPr>
        <w:sectPr>
          <w:footerReference r:id="rId3" w:type="default"/>
          <w:pgSz w:w="11906" w:h="16838"/>
          <w:pgMar w:top="1440" w:right="1558" w:bottom="2269" w:left="1701" w:header="851" w:footer="992" w:gutter="0"/>
          <w:cols w:space="425" w:num="1"/>
          <w:docGrid w:type="lines" w:linePitch="312" w:charSpace="0"/>
        </w:sectPr>
      </w:pPr>
      <w:r>
        <w:rPr>
          <w:rFonts w:hint="eastAsia" w:ascii="仿宋" w:hAnsi="仿宋" w:eastAsia="仿宋" w:cs="仿宋"/>
          <w:sz w:val="28"/>
          <w:szCs w:val="28"/>
        </w:rPr>
        <w:t>（三）加强与属地疫情防控部门的沟通，形成联防联动的机制，做好疫情防控应急转运车辆保障工作。</w:t>
      </w:r>
      <w:r>
        <w:rPr>
          <w:rFonts w:hint="eastAsia" w:ascii="仿宋" w:hAnsi="仿宋" w:eastAsia="仿宋" w:cs="仿宋"/>
          <w:sz w:val="28"/>
          <w:szCs w:val="28"/>
        </w:rPr>
        <w:br w:type="page"/>
      </w:r>
    </w:p>
    <w:p>
      <w:pPr>
        <w:adjustRightInd w:val="0"/>
        <w:snapToGrid w:val="0"/>
        <w:spacing w:after="240" w:line="520" w:lineRule="exact"/>
        <w:jc w:val="left"/>
        <w:rPr>
          <w:rFonts w:ascii="仿宋" w:hAnsi="仿宋" w:eastAsia="仿宋" w:cs="仿宋_GB2312"/>
          <w:sz w:val="28"/>
          <w:szCs w:val="28"/>
        </w:rPr>
      </w:pPr>
      <w:r>
        <w:rPr>
          <w:rFonts w:hint="eastAsia" w:ascii="仿宋" w:hAnsi="仿宋" w:eastAsia="仿宋" w:cs="仿宋_GB2312"/>
          <w:sz w:val="28"/>
          <w:szCs w:val="28"/>
        </w:rPr>
        <w:t>附件</w:t>
      </w:r>
      <w:r>
        <w:rPr>
          <w:rFonts w:hint="eastAsia" w:ascii="仿宋" w:hAnsi="仿宋" w:eastAsia="仿宋" w:cs="仿宋_GB2312"/>
          <w:sz w:val="28"/>
          <w:szCs w:val="28"/>
          <w:lang w:val="en-US" w:eastAsia="zh-CN"/>
        </w:rPr>
        <w:t>6</w:t>
      </w:r>
      <w:r>
        <w:rPr>
          <w:rFonts w:hint="eastAsia" w:ascii="仿宋" w:hAnsi="仿宋" w:eastAsia="仿宋" w:cs="仿宋_GB2312"/>
          <w:sz w:val="28"/>
          <w:szCs w:val="28"/>
        </w:rPr>
        <w:t>：</w:t>
      </w:r>
    </w:p>
    <w:tbl>
      <w:tblPr>
        <w:tblStyle w:val="7"/>
        <w:tblpPr w:leftFromText="180" w:rightFromText="180" w:vertAnchor="text" w:horzAnchor="page" w:tblpX="473" w:tblpY="864"/>
        <w:tblOverlap w:val="never"/>
        <w:tblW w:w="110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66"/>
        <w:gridCol w:w="3775"/>
        <w:gridCol w:w="24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30"/>
                <w:szCs w:val="30"/>
                <w:u w:val="none"/>
              </w:rPr>
            </w:pPr>
            <w:r>
              <w:rPr>
                <w:rFonts w:hint="eastAsia" w:ascii="仿宋_GB2312" w:hAnsi="仿宋_GB2312" w:eastAsia="仿宋_GB2312" w:cs="仿宋_GB2312"/>
                <w:b/>
                <w:bCs/>
                <w:i w:val="0"/>
                <w:iCs w:val="0"/>
                <w:color w:val="000000"/>
                <w:kern w:val="0"/>
                <w:sz w:val="30"/>
                <w:szCs w:val="30"/>
                <w:u w:val="none"/>
                <w:lang w:val="en-US" w:eastAsia="zh-CN" w:bidi="ar"/>
              </w:rPr>
              <w:t>平台</w:t>
            </w: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30"/>
                <w:szCs w:val="30"/>
                <w:u w:val="none"/>
              </w:rPr>
            </w:pPr>
            <w:r>
              <w:rPr>
                <w:rFonts w:hint="eastAsia" w:ascii="仿宋_GB2312" w:hAnsi="仿宋_GB2312" w:eastAsia="仿宋_GB2312" w:cs="仿宋_GB2312"/>
                <w:b/>
                <w:bCs/>
                <w:i w:val="0"/>
                <w:iCs w:val="0"/>
                <w:color w:val="000000"/>
                <w:kern w:val="0"/>
                <w:sz w:val="30"/>
                <w:szCs w:val="30"/>
                <w:u w:val="none"/>
                <w:lang w:val="en-US" w:eastAsia="zh-CN" w:bidi="ar"/>
              </w:rPr>
              <w:t>事项</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30"/>
                <w:szCs w:val="30"/>
                <w:u w:val="none"/>
              </w:rPr>
            </w:pPr>
            <w:r>
              <w:rPr>
                <w:rFonts w:hint="eastAsia" w:ascii="仿宋_GB2312" w:hAnsi="仿宋_GB2312" w:eastAsia="仿宋_GB2312" w:cs="仿宋_GB2312"/>
                <w:b/>
                <w:bCs/>
                <w:i w:val="0"/>
                <w:iCs w:val="0"/>
                <w:color w:val="000000"/>
                <w:kern w:val="0"/>
                <w:sz w:val="30"/>
                <w:szCs w:val="30"/>
                <w:u w:val="none"/>
                <w:lang w:val="en-US" w:eastAsia="zh-CN" w:bidi="ar"/>
              </w:rPr>
              <w:t>时间安排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Style w:val="16"/>
                <w:rFonts w:hint="eastAsia" w:ascii="仿宋_GB2312" w:hAnsi="仿宋_GB2312" w:eastAsia="仿宋_GB2312" w:cs="仿宋_GB2312"/>
                <w:sz w:val="30"/>
                <w:szCs w:val="30"/>
                <w:lang w:val="en-US" w:eastAsia="zh-CN" w:bidi="ar"/>
              </w:rPr>
              <w:t>岗前培训系统（</w:t>
            </w:r>
            <w:r>
              <w:rPr>
                <w:rStyle w:val="17"/>
                <w:rFonts w:hint="eastAsia" w:ascii="仿宋_GB2312" w:hAnsi="仿宋_GB2312" w:eastAsia="仿宋_GB2312" w:cs="仿宋_GB2312"/>
                <w:sz w:val="30"/>
                <w:szCs w:val="30"/>
                <w:lang w:val="en-US" w:eastAsia="zh-CN" w:bidi="ar"/>
              </w:rPr>
              <w:t>http://39.100.64.169/</w:t>
            </w:r>
            <w:r>
              <w:rPr>
                <w:rStyle w:val="16"/>
                <w:rFonts w:hint="eastAsia" w:ascii="仿宋_GB2312" w:hAnsi="仿宋_GB2312" w:eastAsia="仿宋_GB2312" w:cs="仿宋_GB2312"/>
                <w:sz w:val="30"/>
                <w:szCs w:val="30"/>
                <w:lang w:val="en-US" w:eastAsia="zh-CN" w:bidi="ar"/>
              </w:rPr>
              <w:t>）</w:t>
            </w: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学员报名</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7.1-7.7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Style w:val="18"/>
                <w:rFonts w:hint="eastAsia" w:ascii="仿宋_GB2312" w:hAnsi="仿宋_GB2312" w:eastAsia="仿宋_GB2312" w:cs="仿宋_GB2312"/>
                <w:sz w:val="30"/>
                <w:szCs w:val="30"/>
                <w:lang w:val="en-US" w:eastAsia="zh-CN" w:bidi="ar"/>
              </w:rPr>
              <w:t>线上学习平台（</w:t>
            </w:r>
            <w:r>
              <w:rPr>
                <w:rStyle w:val="19"/>
                <w:rFonts w:hint="eastAsia" w:ascii="仿宋_GB2312" w:hAnsi="仿宋_GB2312" w:eastAsia="仿宋_GB2312" w:cs="仿宋_GB2312"/>
                <w:sz w:val="30"/>
                <w:szCs w:val="30"/>
                <w:lang w:val="en-US" w:eastAsia="zh-CN" w:bidi="ar"/>
              </w:rPr>
              <w:t>http:/ /hubeigs.zymreal.com/resource</w:t>
            </w:r>
            <w:r>
              <w:rPr>
                <w:rStyle w:val="18"/>
                <w:rFonts w:hint="eastAsia" w:ascii="仿宋_GB2312" w:hAnsi="仿宋_GB2312" w:eastAsia="仿宋_GB2312" w:cs="仿宋_GB2312"/>
                <w:sz w:val="30"/>
                <w:szCs w:val="30"/>
                <w:lang w:val="en-US" w:eastAsia="zh-CN" w:bidi="ar"/>
              </w:rPr>
              <w:t>）</w:t>
            </w: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学员线上学习</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7.14-8.25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Style w:val="16"/>
                <w:rFonts w:hint="eastAsia" w:ascii="仿宋_GB2312" w:hAnsi="仿宋_GB2312" w:eastAsia="仿宋_GB2312" w:cs="仿宋_GB2312"/>
                <w:sz w:val="30"/>
                <w:szCs w:val="30"/>
                <w:lang w:val="en-US" w:eastAsia="zh-CN" w:bidi="ar"/>
              </w:rPr>
              <w:t>线下学习</w:t>
            </w: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湖北工业大学承训点    集中培训</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Style w:val="16"/>
                <w:rFonts w:hint="eastAsia" w:ascii="仿宋_GB2312" w:hAnsi="仿宋_GB2312" w:eastAsia="仿宋_GB2312" w:cs="仿宋_GB2312"/>
                <w:sz w:val="30"/>
                <w:szCs w:val="30"/>
                <w:lang w:val="en-US" w:eastAsia="zh-CN" w:bidi="ar"/>
              </w:rPr>
              <w:t>待定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30"/>
                <w:szCs w:val="30"/>
                <w:u w:val="none"/>
              </w:rPr>
            </w:pP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校本研修（撰写论文）</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8.20</w:t>
            </w:r>
            <w:r>
              <w:rPr>
                <w:rStyle w:val="16"/>
                <w:rFonts w:hint="eastAsia" w:ascii="仿宋_GB2312" w:hAnsi="仿宋_GB2312" w:eastAsia="仿宋_GB2312" w:cs="仿宋_GB2312"/>
                <w:sz w:val="30"/>
                <w:szCs w:val="30"/>
                <w:lang w:val="en-US" w:eastAsia="zh-CN" w:bidi="ar"/>
              </w:rPr>
              <w:t>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Style w:val="16"/>
                <w:rFonts w:hint="eastAsia" w:ascii="仿宋_GB2312" w:hAnsi="仿宋_GB2312" w:eastAsia="仿宋_GB2312" w:cs="仿宋_GB2312"/>
                <w:sz w:val="30"/>
                <w:szCs w:val="30"/>
                <w:lang w:val="en-US" w:eastAsia="zh-CN" w:bidi="ar"/>
              </w:rPr>
              <w:t>岗前培训系统（</w:t>
            </w:r>
            <w:r>
              <w:rPr>
                <w:rStyle w:val="17"/>
                <w:rFonts w:hint="eastAsia" w:ascii="仿宋_GB2312" w:hAnsi="仿宋_GB2312" w:eastAsia="仿宋_GB2312" w:cs="仿宋_GB2312"/>
                <w:sz w:val="30"/>
                <w:szCs w:val="30"/>
                <w:lang w:val="en-US" w:eastAsia="zh-CN" w:bidi="ar"/>
              </w:rPr>
              <w:t xml:space="preserve">http://39.100.64.169/ </w:t>
            </w:r>
            <w:r>
              <w:rPr>
                <w:rStyle w:val="16"/>
                <w:rFonts w:hint="eastAsia" w:ascii="仿宋_GB2312" w:hAnsi="仿宋_GB2312" w:eastAsia="仿宋_GB2312" w:cs="仿宋_GB2312"/>
                <w:sz w:val="30"/>
                <w:szCs w:val="30"/>
                <w:lang w:val="en-US" w:eastAsia="zh-CN" w:bidi="ar"/>
              </w:rPr>
              <w:t>）</w:t>
            </w: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论文提交及审核</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8.21-8.25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30"/>
                <w:szCs w:val="30"/>
                <w:u w:val="none"/>
              </w:rPr>
            </w:pP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学员打印准考证</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FF0000"/>
                <w:sz w:val="30"/>
                <w:szCs w:val="30"/>
                <w:u w:val="none"/>
              </w:rPr>
            </w:pPr>
            <w:r>
              <w:rPr>
                <w:rFonts w:hint="eastAsia" w:ascii="仿宋_GB2312" w:hAnsi="仿宋_GB2312" w:eastAsia="仿宋_GB2312" w:cs="仿宋_GB2312"/>
                <w:b/>
                <w:bCs/>
                <w:i w:val="0"/>
                <w:iCs w:val="0"/>
                <w:color w:val="FF0000"/>
                <w:kern w:val="0"/>
                <w:sz w:val="30"/>
                <w:szCs w:val="30"/>
                <w:u w:val="none"/>
                <w:lang w:val="en-US" w:eastAsia="zh-CN" w:bidi="ar"/>
              </w:rPr>
              <w:t>8.23-8.25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Style w:val="16"/>
                <w:rFonts w:hint="eastAsia" w:ascii="仿宋_GB2312" w:hAnsi="仿宋_GB2312" w:eastAsia="仿宋_GB2312" w:cs="仿宋_GB2312"/>
                <w:sz w:val="30"/>
                <w:szCs w:val="30"/>
                <w:lang w:val="en-US" w:eastAsia="zh-CN" w:bidi="ar"/>
              </w:rPr>
              <w:t>线下学习</w:t>
            </w:r>
          </w:p>
        </w:tc>
        <w:tc>
          <w:tcPr>
            <w:tcW w:w="43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0"/>
                <w:szCs w:val="30"/>
                <w:u w:val="none"/>
              </w:rPr>
            </w:pPr>
            <w:r>
              <w:rPr>
                <w:rFonts w:hint="eastAsia" w:ascii="仿宋_GB2312" w:hAnsi="仿宋_GB2312" w:eastAsia="仿宋_GB2312" w:cs="仿宋_GB2312"/>
                <w:i w:val="0"/>
                <w:iCs w:val="0"/>
                <w:color w:val="000000"/>
                <w:kern w:val="0"/>
                <w:sz w:val="30"/>
                <w:szCs w:val="30"/>
                <w:u w:val="none"/>
                <w:lang w:val="en-US" w:eastAsia="zh-CN" w:bidi="ar"/>
              </w:rPr>
              <w:t>笔试集中考试</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FF0000"/>
                <w:sz w:val="30"/>
                <w:szCs w:val="30"/>
                <w:u w:val="none"/>
              </w:rPr>
            </w:pPr>
            <w:r>
              <w:rPr>
                <w:rFonts w:hint="eastAsia" w:ascii="仿宋_GB2312" w:hAnsi="仿宋_GB2312" w:eastAsia="仿宋_GB2312" w:cs="仿宋_GB2312"/>
                <w:b/>
                <w:bCs/>
                <w:i w:val="0"/>
                <w:iCs w:val="0"/>
                <w:color w:val="FF0000"/>
                <w:kern w:val="0"/>
                <w:sz w:val="30"/>
                <w:szCs w:val="30"/>
                <w:u w:val="none"/>
                <w:lang w:val="en-US" w:eastAsia="zh-CN" w:bidi="ar"/>
              </w:rPr>
              <w:t>8.26</w:t>
            </w:r>
          </w:p>
        </w:tc>
      </w:tr>
    </w:tbl>
    <w:p>
      <w:pPr>
        <w:spacing w:line="540" w:lineRule="exact"/>
        <w:jc w:val="center"/>
        <w:rPr>
          <w:rStyle w:val="13"/>
          <w:rFonts w:ascii="仿宋" w:hAnsi="仿宋" w:eastAsia="仿宋" w:cs="仿宋"/>
          <w:b/>
          <w:bCs/>
          <w:sz w:val="32"/>
          <w:szCs w:val="32"/>
        </w:rPr>
      </w:pPr>
      <w:r>
        <w:rPr>
          <w:rStyle w:val="13"/>
          <w:rFonts w:hint="eastAsia" w:ascii="仿宋" w:hAnsi="仿宋" w:eastAsia="仿宋" w:cs="仿宋"/>
          <w:b/>
          <w:bCs/>
          <w:sz w:val="32"/>
          <w:szCs w:val="32"/>
        </w:rPr>
        <w:t>2022年岗前培训工作时间安排</w:t>
      </w:r>
    </w:p>
    <w:sectPr>
      <w:pgSz w:w="11906" w:h="16838"/>
      <w:pgMar w:top="1077" w:right="1558" w:bottom="107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7</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FmOTc5OGUxMDg5Zjk4ODdiMjQwM2EwMjM3OGNkNmMifQ=="/>
  </w:docVars>
  <w:rsids>
    <w:rsidRoot w:val="00C55A17"/>
    <w:rsid w:val="00002AC1"/>
    <w:rsid w:val="00004B0F"/>
    <w:rsid w:val="00010644"/>
    <w:rsid w:val="00010F19"/>
    <w:rsid w:val="000114D3"/>
    <w:rsid w:val="000125D5"/>
    <w:rsid w:val="0001396A"/>
    <w:rsid w:val="00013B4A"/>
    <w:rsid w:val="00013BCB"/>
    <w:rsid w:val="00015AF8"/>
    <w:rsid w:val="00026897"/>
    <w:rsid w:val="000320F7"/>
    <w:rsid w:val="00033170"/>
    <w:rsid w:val="00037720"/>
    <w:rsid w:val="000434B7"/>
    <w:rsid w:val="00045ABA"/>
    <w:rsid w:val="00057A28"/>
    <w:rsid w:val="00060664"/>
    <w:rsid w:val="00060E4B"/>
    <w:rsid w:val="00060FF8"/>
    <w:rsid w:val="00065819"/>
    <w:rsid w:val="00073680"/>
    <w:rsid w:val="000852D0"/>
    <w:rsid w:val="00085E79"/>
    <w:rsid w:val="00087148"/>
    <w:rsid w:val="00094EAE"/>
    <w:rsid w:val="00096241"/>
    <w:rsid w:val="000A0A58"/>
    <w:rsid w:val="000A2AA2"/>
    <w:rsid w:val="000A38EC"/>
    <w:rsid w:val="000A6A63"/>
    <w:rsid w:val="000B14CB"/>
    <w:rsid w:val="000B45E4"/>
    <w:rsid w:val="000B7554"/>
    <w:rsid w:val="000C4022"/>
    <w:rsid w:val="000C4C12"/>
    <w:rsid w:val="000D05DC"/>
    <w:rsid w:val="000D28E5"/>
    <w:rsid w:val="000D3129"/>
    <w:rsid w:val="000D4ECE"/>
    <w:rsid w:val="000D61C4"/>
    <w:rsid w:val="000E2227"/>
    <w:rsid w:val="000E3F4E"/>
    <w:rsid w:val="000E49FE"/>
    <w:rsid w:val="0011124D"/>
    <w:rsid w:val="00123513"/>
    <w:rsid w:val="00124035"/>
    <w:rsid w:val="001268E6"/>
    <w:rsid w:val="00127F78"/>
    <w:rsid w:val="00130CDE"/>
    <w:rsid w:val="00135F1C"/>
    <w:rsid w:val="00137E5C"/>
    <w:rsid w:val="001406AF"/>
    <w:rsid w:val="0014144A"/>
    <w:rsid w:val="0014215B"/>
    <w:rsid w:val="001429C6"/>
    <w:rsid w:val="00150D98"/>
    <w:rsid w:val="00151D2A"/>
    <w:rsid w:val="00151D7B"/>
    <w:rsid w:val="00161D87"/>
    <w:rsid w:val="001672A2"/>
    <w:rsid w:val="00170672"/>
    <w:rsid w:val="001719B5"/>
    <w:rsid w:val="001722D7"/>
    <w:rsid w:val="0017401B"/>
    <w:rsid w:val="00186B37"/>
    <w:rsid w:val="00190932"/>
    <w:rsid w:val="001946E4"/>
    <w:rsid w:val="00195474"/>
    <w:rsid w:val="00196449"/>
    <w:rsid w:val="001A505F"/>
    <w:rsid w:val="001A7763"/>
    <w:rsid w:val="001B238E"/>
    <w:rsid w:val="001B352C"/>
    <w:rsid w:val="001B47EE"/>
    <w:rsid w:val="001B6A04"/>
    <w:rsid w:val="001C231C"/>
    <w:rsid w:val="001C3162"/>
    <w:rsid w:val="001C3317"/>
    <w:rsid w:val="001C4791"/>
    <w:rsid w:val="001D638F"/>
    <w:rsid w:val="001D7237"/>
    <w:rsid w:val="001E3D75"/>
    <w:rsid w:val="001E4872"/>
    <w:rsid w:val="001E78CD"/>
    <w:rsid w:val="001F025E"/>
    <w:rsid w:val="001F48AC"/>
    <w:rsid w:val="002018C4"/>
    <w:rsid w:val="00212117"/>
    <w:rsid w:val="0021616D"/>
    <w:rsid w:val="00216E55"/>
    <w:rsid w:val="002223E4"/>
    <w:rsid w:val="002305DF"/>
    <w:rsid w:val="00234A3F"/>
    <w:rsid w:val="00240F30"/>
    <w:rsid w:val="00242725"/>
    <w:rsid w:val="00244709"/>
    <w:rsid w:val="002451D1"/>
    <w:rsid w:val="002535A3"/>
    <w:rsid w:val="0025464F"/>
    <w:rsid w:val="002562D9"/>
    <w:rsid w:val="002643CC"/>
    <w:rsid w:val="0026646E"/>
    <w:rsid w:val="00273A48"/>
    <w:rsid w:val="00273B4C"/>
    <w:rsid w:val="00285013"/>
    <w:rsid w:val="002877BF"/>
    <w:rsid w:val="002912A2"/>
    <w:rsid w:val="00295DE9"/>
    <w:rsid w:val="00297943"/>
    <w:rsid w:val="002A0790"/>
    <w:rsid w:val="002A1BA0"/>
    <w:rsid w:val="002A37DF"/>
    <w:rsid w:val="002A4D20"/>
    <w:rsid w:val="002A5506"/>
    <w:rsid w:val="002B0CB3"/>
    <w:rsid w:val="002B1B68"/>
    <w:rsid w:val="002B226E"/>
    <w:rsid w:val="002B65CA"/>
    <w:rsid w:val="002C0D82"/>
    <w:rsid w:val="002C1660"/>
    <w:rsid w:val="002C77B9"/>
    <w:rsid w:val="002D2129"/>
    <w:rsid w:val="002F28A9"/>
    <w:rsid w:val="002F42A1"/>
    <w:rsid w:val="003001A8"/>
    <w:rsid w:val="0030072E"/>
    <w:rsid w:val="003018CE"/>
    <w:rsid w:val="00303914"/>
    <w:rsid w:val="003118E4"/>
    <w:rsid w:val="00312074"/>
    <w:rsid w:val="00314DE7"/>
    <w:rsid w:val="00317121"/>
    <w:rsid w:val="00320264"/>
    <w:rsid w:val="00333010"/>
    <w:rsid w:val="0033396C"/>
    <w:rsid w:val="0033476D"/>
    <w:rsid w:val="003348A1"/>
    <w:rsid w:val="00334FB3"/>
    <w:rsid w:val="003408C7"/>
    <w:rsid w:val="00341FE0"/>
    <w:rsid w:val="00345D79"/>
    <w:rsid w:val="003472A1"/>
    <w:rsid w:val="0035192C"/>
    <w:rsid w:val="00353F84"/>
    <w:rsid w:val="003565B9"/>
    <w:rsid w:val="00360C37"/>
    <w:rsid w:val="003653F5"/>
    <w:rsid w:val="00366AC5"/>
    <w:rsid w:val="003753DC"/>
    <w:rsid w:val="003813B8"/>
    <w:rsid w:val="003818D0"/>
    <w:rsid w:val="0038654E"/>
    <w:rsid w:val="003917E7"/>
    <w:rsid w:val="00392D01"/>
    <w:rsid w:val="00393746"/>
    <w:rsid w:val="003A587A"/>
    <w:rsid w:val="003A5C8A"/>
    <w:rsid w:val="003B4860"/>
    <w:rsid w:val="003B4877"/>
    <w:rsid w:val="003B604E"/>
    <w:rsid w:val="003C151F"/>
    <w:rsid w:val="003D1673"/>
    <w:rsid w:val="003D2013"/>
    <w:rsid w:val="003D76CF"/>
    <w:rsid w:val="003E07F1"/>
    <w:rsid w:val="003E18CE"/>
    <w:rsid w:val="003E59FC"/>
    <w:rsid w:val="003E5AE4"/>
    <w:rsid w:val="003F0D82"/>
    <w:rsid w:val="003F32E2"/>
    <w:rsid w:val="003F3DAE"/>
    <w:rsid w:val="0040036B"/>
    <w:rsid w:val="0040200F"/>
    <w:rsid w:val="00405D48"/>
    <w:rsid w:val="004115D3"/>
    <w:rsid w:val="004121FA"/>
    <w:rsid w:val="00423D15"/>
    <w:rsid w:val="00427304"/>
    <w:rsid w:val="0043058C"/>
    <w:rsid w:val="00434231"/>
    <w:rsid w:val="00435A16"/>
    <w:rsid w:val="00436EE7"/>
    <w:rsid w:val="0044612B"/>
    <w:rsid w:val="00446473"/>
    <w:rsid w:val="00450015"/>
    <w:rsid w:val="0045266C"/>
    <w:rsid w:val="00453502"/>
    <w:rsid w:val="004711FB"/>
    <w:rsid w:val="00473C4E"/>
    <w:rsid w:val="00480E90"/>
    <w:rsid w:val="004819B5"/>
    <w:rsid w:val="004858FE"/>
    <w:rsid w:val="0049220A"/>
    <w:rsid w:val="00493A5E"/>
    <w:rsid w:val="00497981"/>
    <w:rsid w:val="004A036A"/>
    <w:rsid w:val="004A300D"/>
    <w:rsid w:val="004A3671"/>
    <w:rsid w:val="004A5355"/>
    <w:rsid w:val="004B4AA1"/>
    <w:rsid w:val="004B68E4"/>
    <w:rsid w:val="004C0408"/>
    <w:rsid w:val="004C2242"/>
    <w:rsid w:val="004C4F8A"/>
    <w:rsid w:val="004C5869"/>
    <w:rsid w:val="004C718A"/>
    <w:rsid w:val="004C797D"/>
    <w:rsid w:val="004D0AD4"/>
    <w:rsid w:val="004D0B22"/>
    <w:rsid w:val="004D0E16"/>
    <w:rsid w:val="004D2370"/>
    <w:rsid w:val="004D376D"/>
    <w:rsid w:val="004D69FA"/>
    <w:rsid w:val="004E37F7"/>
    <w:rsid w:val="004E3988"/>
    <w:rsid w:val="004E4A96"/>
    <w:rsid w:val="004E4E36"/>
    <w:rsid w:val="004E6F98"/>
    <w:rsid w:val="004F43D1"/>
    <w:rsid w:val="004F6DCF"/>
    <w:rsid w:val="004F6F05"/>
    <w:rsid w:val="005007B4"/>
    <w:rsid w:val="00504CB7"/>
    <w:rsid w:val="005062E2"/>
    <w:rsid w:val="0051164D"/>
    <w:rsid w:val="00522BC0"/>
    <w:rsid w:val="0052711D"/>
    <w:rsid w:val="005305AA"/>
    <w:rsid w:val="00531BE7"/>
    <w:rsid w:val="00532704"/>
    <w:rsid w:val="00536E3F"/>
    <w:rsid w:val="0054148B"/>
    <w:rsid w:val="00542702"/>
    <w:rsid w:val="005447DA"/>
    <w:rsid w:val="00555A76"/>
    <w:rsid w:val="0055622E"/>
    <w:rsid w:val="00556AE3"/>
    <w:rsid w:val="0056173C"/>
    <w:rsid w:val="0056387A"/>
    <w:rsid w:val="0056717A"/>
    <w:rsid w:val="005735E6"/>
    <w:rsid w:val="0057607C"/>
    <w:rsid w:val="005A11F6"/>
    <w:rsid w:val="005A5219"/>
    <w:rsid w:val="005B0BC3"/>
    <w:rsid w:val="005B408B"/>
    <w:rsid w:val="005C024C"/>
    <w:rsid w:val="005C5CBF"/>
    <w:rsid w:val="005D50E2"/>
    <w:rsid w:val="005E0D3B"/>
    <w:rsid w:val="005E170F"/>
    <w:rsid w:val="005E21DC"/>
    <w:rsid w:val="005E3D9E"/>
    <w:rsid w:val="005E4C25"/>
    <w:rsid w:val="005E5242"/>
    <w:rsid w:val="005E606F"/>
    <w:rsid w:val="005F3635"/>
    <w:rsid w:val="005F6614"/>
    <w:rsid w:val="00602FAC"/>
    <w:rsid w:val="00606E26"/>
    <w:rsid w:val="00606F9D"/>
    <w:rsid w:val="0061137B"/>
    <w:rsid w:val="00612D0B"/>
    <w:rsid w:val="00615FFB"/>
    <w:rsid w:val="0061645C"/>
    <w:rsid w:val="00616750"/>
    <w:rsid w:val="00616AAD"/>
    <w:rsid w:val="006227A5"/>
    <w:rsid w:val="00631793"/>
    <w:rsid w:val="00637A73"/>
    <w:rsid w:val="006407B9"/>
    <w:rsid w:val="00642B65"/>
    <w:rsid w:val="00643494"/>
    <w:rsid w:val="006447D2"/>
    <w:rsid w:val="00646BE4"/>
    <w:rsid w:val="00647824"/>
    <w:rsid w:val="00653349"/>
    <w:rsid w:val="006534E6"/>
    <w:rsid w:val="00654103"/>
    <w:rsid w:val="00657893"/>
    <w:rsid w:val="00660B2F"/>
    <w:rsid w:val="00662E93"/>
    <w:rsid w:val="00665C6E"/>
    <w:rsid w:val="00667997"/>
    <w:rsid w:val="0067151F"/>
    <w:rsid w:val="006772C5"/>
    <w:rsid w:val="006874BD"/>
    <w:rsid w:val="00687606"/>
    <w:rsid w:val="0069082C"/>
    <w:rsid w:val="00690950"/>
    <w:rsid w:val="00691BAE"/>
    <w:rsid w:val="00692C76"/>
    <w:rsid w:val="006A3442"/>
    <w:rsid w:val="006B075A"/>
    <w:rsid w:val="006C1392"/>
    <w:rsid w:val="006D09BC"/>
    <w:rsid w:val="006D4927"/>
    <w:rsid w:val="006E0FB4"/>
    <w:rsid w:val="006E179C"/>
    <w:rsid w:val="006E54F1"/>
    <w:rsid w:val="006E6419"/>
    <w:rsid w:val="006E6A07"/>
    <w:rsid w:val="006E7977"/>
    <w:rsid w:val="006F22B8"/>
    <w:rsid w:val="006F33ED"/>
    <w:rsid w:val="006F7F1A"/>
    <w:rsid w:val="0071210E"/>
    <w:rsid w:val="00715A3D"/>
    <w:rsid w:val="00716117"/>
    <w:rsid w:val="00716F1E"/>
    <w:rsid w:val="00727742"/>
    <w:rsid w:val="00740312"/>
    <w:rsid w:val="00745A32"/>
    <w:rsid w:val="00747CBC"/>
    <w:rsid w:val="007507EC"/>
    <w:rsid w:val="007515AE"/>
    <w:rsid w:val="0075667F"/>
    <w:rsid w:val="0076303D"/>
    <w:rsid w:val="00771B08"/>
    <w:rsid w:val="00794C04"/>
    <w:rsid w:val="00795DB2"/>
    <w:rsid w:val="007973C5"/>
    <w:rsid w:val="007A2BCB"/>
    <w:rsid w:val="007A7457"/>
    <w:rsid w:val="007B2A16"/>
    <w:rsid w:val="007B2E20"/>
    <w:rsid w:val="007C452C"/>
    <w:rsid w:val="007C4B32"/>
    <w:rsid w:val="007D04B8"/>
    <w:rsid w:val="007D6FFA"/>
    <w:rsid w:val="007D7AC4"/>
    <w:rsid w:val="007E165F"/>
    <w:rsid w:val="007E35E9"/>
    <w:rsid w:val="007E3FFE"/>
    <w:rsid w:val="007F1444"/>
    <w:rsid w:val="007F410D"/>
    <w:rsid w:val="007F56B3"/>
    <w:rsid w:val="00800A25"/>
    <w:rsid w:val="008070DF"/>
    <w:rsid w:val="0082019D"/>
    <w:rsid w:val="008344CA"/>
    <w:rsid w:val="00837013"/>
    <w:rsid w:val="0084056A"/>
    <w:rsid w:val="00840D8C"/>
    <w:rsid w:val="0085051B"/>
    <w:rsid w:val="008515C1"/>
    <w:rsid w:val="0085460E"/>
    <w:rsid w:val="008568A1"/>
    <w:rsid w:val="00861055"/>
    <w:rsid w:val="00864D17"/>
    <w:rsid w:val="00864D7C"/>
    <w:rsid w:val="008721AD"/>
    <w:rsid w:val="00873545"/>
    <w:rsid w:val="00873A83"/>
    <w:rsid w:val="00891524"/>
    <w:rsid w:val="008932AF"/>
    <w:rsid w:val="008932E5"/>
    <w:rsid w:val="008A14D3"/>
    <w:rsid w:val="008A209C"/>
    <w:rsid w:val="008A4D04"/>
    <w:rsid w:val="008B2A9C"/>
    <w:rsid w:val="008D14B0"/>
    <w:rsid w:val="008D2861"/>
    <w:rsid w:val="008E10A3"/>
    <w:rsid w:val="008E1C6A"/>
    <w:rsid w:val="008E5504"/>
    <w:rsid w:val="008E759D"/>
    <w:rsid w:val="008F13E4"/>
    <w:rsid w:val="008F2413"/>
    <w:rsid w:val="008F3DFF"/>
    <w:rsid w:val="008F5F35"/>
    <w:rsid w:val="00900137"/>
    <w:rsid w:val="0090053A"/>
    <w:rsid w:val="00900F7F"/>
    <w:rsid w:val="0090381F"/>
    <w:rsid w:val="00907DC3"/>
    <w:rsid w:val="00922181"/>
    <w:rsid w:val="009300BE"/>
    <w:rsid w:val="00930386"/>
    <w:rsid w:val="0093126B"/>
    <w:rsid w:val="0093236D"/>
    <w:rsid w:val="00936398"/>
    <w:rsid w:val="00936B74"/>
    <w:rsid w:val="009373AD"/>
    <w:rsid w:val="0095032E"/>
    <w:rsid w:val="00950694"/>
    <w:rsid w:val="00953DDF"/>
    <w:rsid w:val="009578EE"/>
    <w:rsid w:val="00962391"/>
    <w:rsid w:val="009670CB"/>
    <w:rsid w:val="009673BF"/>
    <w:rsid w:val="009712ED"/>
    <w:rsid w:val="009731AB"/>
    <w:rsid w:val="00976E08"/>
    <w:rsid w:val="00977185"/>
    <w:rsid w:val="0097735E"/>
    <w:rsid w:val="0098166C"/>
    <w:rsid w:val="00982CCA"/>
    <w:rsid w:val="009855A1"/>
    <w:rsid w:val="00987E59"/>
    <w:rsid w:val="009A06AA"/>
    <w:rsid w:val="009A0BA4"/>
    <w:rsid w:val="009A38EF"/>
    <w:rsid w:val="009A3B3F"/>
    <w:rsid w:val="009A3E50"/>
    <w:rsid w:val="009B2071"/>
    <w:rsid w:val="009B265F"/>
    <w:rsid w:val="009B5569"/>
    <w:rsid w:val="009C0A3E"/>
    <w:rsid w:val="009D1DB6"/>
    <w:rsid w:val="009D505E"/>
    <w:rsid w:val="009E3A40"/>
    <w:rsid w:val="009E6341"/>
    <w:rsid w:val="009E6FCA"/>
    <w:rsid w:val="009E747F"/>
    <w:rsid w:val="009F038B"/>
    <w:rsid w:val="009F0D69"/>
    <w:rsid w:val="009F166D"/>
    <w:rsid w:val="00A03BB0"/>
    <w:rsid w:val="00A03DD2"/>
    <w:rsid w:val="00A045C0"/>
    <w:rsid w:val="00A118DF"/>
    <w:rsid w:val="00A12AF3"/>
    <w:rsid w:val="00A15FE6"/>
    <w:rsid w:val="00A160CF"/>
    <w:rsid w:val="00A16D80"/>
    <w:rsid w:val="00A20C80"/>
    <w:rsid w:val="00A2243E"/>
    <w:rsid w:val="00A2474E"/>
    <w:rsid w:val="00A2642E"/>
    <w:rsid w:val="00A31245"/>
    <w:rsid w:val="00A33FCF"/>
    <w:rsid w:val="00A3774C"/>
    <w:rsid w:val="00A56A9C"/>
    <w:rsid w:val="00A576AC"/>
    <w:rsid w:val="00A612C9"/>
    <w:rsid w:val="00A72727"/>
    <w:rsid w:val="00A772FF"/>
    <w:rsid w:val="00A83908"/>
    <w:rsid w:val="00A86716"/>
    <w:rsid w:val="00A922D5"/>
    <w:rsid w:val="00A97D06"/>
    <w:rsid w:val="00AB35BD"/>
    <w:rsid w:val="00AB4BD7"/>
    <w:rsid w:val="00AC6558"/>
    <w:rsid w:val="00AD029C"/>
    <w:rsid w:val="00AD69C6"/>
    <w:rsid w:val="00AF1E2D"/>
    <w:rsid w:val="00AF3565"/>
    <w:rsid w:val="00AF371D"/>
    <w:rsid w:val="00AF38C7"/>
    <w:rsid w:val="00B04DED"/>
    <w:rsid w:val="00B12531"/>
    <w:rsid w:val="00B17298"/>
    <w:rsid w:val="00B211CA"/>
    <w:rsid w:val="00B25825"/>
    <w:rsid w:val="00B27DC2"/>
    <w:rsid w:val="00B323EC"/>
    <w:rsid w:val="00B35564"/>
    <w:rsid w:val="00B35677"/>
    <w:rsid w:val="00B35FF2"/>
    <w:rsid w:val="00B420DC"/>
    <w:rsid w:val="00B51840"/>
    <w:rsid w:val="00B53A31"/>
    <w:rsid w:val="00B5650B"/>
    <w:rsid w:val="00B56C61"/>
    <w:rsid w:val="00B57179"/>
    <w:rsid w:val="00B62C7A"/>
    <w:rsid w:val="00B6373F"/>
    <w:rsid w:val="00B640D1"/>
    <w:rsid w:val="00B74D68"/>
    <w:rsid w:val="00B839C4"/>
    <w:rsid w:val="00B84FE9"/>
    <w:rsid w:val="00B93EB9"/>
    <w:rsid w:val="00B968E3"/>
    <w:rsid w:val="00BA33B8"/>
    <w:rsid w:val="00BA4259"/>
    <w:rsid w:val="00BA52E3"/>
    <w:rsid w:val="00BA5AA2"/>
    <w:rsid w:val="00BA7AC4"/>
    <w:rsid w:val="00BC069A"/>
    <w:rsid w:val="00BC57D4"/>
    <w:rsid w:val="00BC6723"/>
    <w:rsid w:val="00BD6BA7"/>
    <w:rsid w:val="00BE174B"/>
    <w:rsid w:val="00BE1D1C"/>
    <w:rsid w:val="00BE3BB1"/>
    <w:rsid w:val="00BE40E1"/>
    <w:rsid w:val="00BE787F"/>
    <w:rsid w:val="00C06E0E"/>
    <w:rsid w:val="00C10EEE"/>
    <w:rsid w:val="00C129D3"/>
    <w:rsid w:val="00C1595B"/>
    <w:rsid w:val="00C16F92"/>
    <w:rsid w:val="00C16FC9"/>
    <w:rsid w:val="00C17BBF"/>
    <w:rsid w:val="00C20774"/>
    <w:rsid w:val="00C2727A"/>
    <w:rsid w:val="00C32E6B"/>
    <w:rsid w:val="00C37914"/>
    <w:rsid w:val="00C40863"/>
    <w:rsid w:val="00C451C7"/>
    <w:rsid w:val="00C55A17"/>
    <w:rsid w:val="00C61A00"/>
    <w:rsid w:val="00C6337F"/>
    <w:rsid w:val="00C6414C"/>
    <w:rsid w:val="00C65366"/>
    <w:rsid w:val="00C71E61"/>
    <w:rsid w:val="00C77835"/>
    <w:rsid w:val="00C80DAD"/>
    <w:rsid w:val="00C82828"/>
    <w:rsid w:val="00C83061"/>
    <w:rsid w:val="00C86E6E"/>
    <w:rsid w:val="00C87912"/>
    <w:rsid w:val="00C91D39"/>
    <w:rsid w:val="00C9468B"/>
    <w:rsid w:val="00C950E0"/>
    <w:rsid w:val="00CB75A6"/>
    <w:rsid w:val="00CC1FCC"/>
    <w:rsid w:val="00CC26F6"/>
    <w:rsid w:val="00CD02FE"/>
    <w:rsid w:val="00CD046C"/>
    <w:rsid w:val="00CD1976"/>
    <w:rsid w:val="00CD2F06"/>
    <w:rsid w:val="00CD32D8"/>
    <w:rsid w:val="00CE2B63"/>
    <w:rsid w:val="00CE41E8"/>
    <w:rsid w:val="00CE4E50"/>
    <w:rsid w:val="00CF3E51"/>
    <w:rsid w:val="00CF4BE1"/>
    <w:rsid w:val="00D00E91"/>
    <w:rsid w:val="00D01762"/>
    <w:rsid w:val="00D02F06"/>
    <w:rsid w:val="00D04BA5"/>
    <w:rsid w:val="00D12BD3"/>
    <w:rsid w:val="00D12BE9"/>
    <w:rsid w:val="00D20105"/>
    <w:rsid w:val="00D33478"/>
    <w:rsid w:val="00D34B5A"/>
    <w:rsid w:val="00D34E54"/>
    <w:rsid w:val="00D36993"/>
    <w:rsid w:val="00D37628"/>
    <w:rsid w:val="00D37FCF"/>
    <w:rsid w:val="00D437A0"/>
    <w:rsid w:val="00D43ACA"/>
    <w:rsid w:val="00D44041"/>
    <w:rsid w:val="00D451DC"/>
    <w:rsid w:val="00D50509"/>
    <w:rsid w:val="00D533E5"/>
    <w:rsid w:val="00D615BF"/>
    <w:rsid w:val="00D720CA"/>
    <w:rsid w:val="00D747F7"/>
    <w:rsid w:val="00D7543D"/>
    <w:rsid w:val="00D76FCF"/>
    <w:rsid w:val="00D779F1"/>
    <w:rsid w:val="00D923F3"/>
    <w:rsid w:val="00D93BF1"/>
    <w:rsid w:val="00D97B30"/>
    <w:rsid w:val="00DA27BD"/>
    <w:rsid w:val="00DA37B7"/>
    <w:rsid w:val="00DB3CE9"/>
    <w:rsid w:val="00DC3B3A"/>
    <w:rsid w:val="00DC4A7D"/>
    <w:rsid w:val="00DC5686"/>
    <w:rsid w:val="00DC63CE"/>
    <w:rsid w:val="00DD14BB"/>
    <w:rsid w:val="00DD33E2"/>
    <w:rsid w:val="00DD45A4"/>
    <w:rsid w:val="00DE0CDE"/>
    <w:rsid w:val="00DE24DB"/>
    <w:rsid w:val="00DE291D"/>
    <w:rsid w:val="00DE2BD1"/>
    <w:rsid w:val="00DE2EC6"/>
    <w:rsid w:val="00DE665C"/>
    <w:rsid w:val="00DF0D33"/>
    <w:rsid w:val="00DF0F70"/>
    <w:rsid w:val="00E044E8"/>
    <w:rsid w:val="00E0466C"/>
    <w:rsid w:val="00E05513"/>
    <w:rsid w:val="00E0727E"/>
    <w:rsid w:val="00E10493"/>
    <w:rsid w:val="00E11755"/>
    <w:rsid w:val="00E17F64"/>
    <w:rsid w:val="00E21C76"/>
    <w:rsid w:val="00E36FBB"/>
    <w:rsid w:val="00E4244E"/>
    <w:rsid w:val="00E42FFE"/>
    <w:rsid w:val="00E43767"/>
    <w:rsid w:val="00E50192"/>
    <w:rsid w:val="00E51D67"/>
    <w:rsid w:val="00E53BCF"/>
    <w:rsid w:val="00E71AA5"/>
    <w:rsid w:val="00E74A7A"/>
    <w:rsid w:val="00E82DDE"/>
    <w:rsid w:val="00E835E7"/>
    <w:rsid w:val="00E86147"/>
    <w:rsid w:val="00E87017"/>
    <w:rsid w:val="00E87594"/>
    <w:rsid w:val="00E879AC"/>
    <w:rsid w:val="00E96DEA"/>
    <w:rsid w:val="00EA78AC"/>
    <w:rsid w:val="00EA7B91"/>
    <w:rsid w:val="00EB245C"/>
    <w:rsid w:val="00EC31BA"/>
    <w:rsid w:val="00EC4D4B"/>
    <w:rsid w:val="00EC7E98"/>
    <w:rsid w:val="00ED3311"/>
    <w:rsid w:val="00EE0856"/>
    <w:rsid w:val="00EE0999"/>
    <w:rsid w:val="00EE342D"/>
    <w:rsid w:val="00EE3D06"/>
    <w:rsid w:val="00EE61AC"/>
    <w:rsid w:val="00EF1851"/>
    <w:rsid w:val="00EF23CB"/>
    <w:rsid w:val="00EF390A"/>
    <w:rsid w:val="00EF41EE"/>
    <w:rsid w:val="00EF6091"/>
    <w:rsid w:val="00F06592"/>
    <w:rsid w:val="00F1058A"/>
    <w:rsid w:val="00F107D1"/>
    <w:rsid w:val="00F10B2D"/>
    <w:rsid w:val="00F146BF"/>
    <w:rsid w:val="00F156B9"/>
    <w:rsid w:val="00F1724A"/>
    <w:rsid w:val="00F204AE"/>
    <w:rsid w:val="00F216AF"/>
    <w:rsid w:val="00F40F09"/>
    <w:rsid w:val="00F44EFF"/>
    <w:rsid w:val="00F50B2D"/>
    <w:rsid w:val="00F51169"/>
    <w:rsid w:val="00F55389"/>
    <w:rsid w:val="00F57B1A"/>
    <w:rsid w:val="00F64819"/>
    <w:rsid w:val="00F67574"/>
    <w:rsid w:val="00F71FE0"/>
    <w:rsid w:val="00F82BBB"/>
    <w:rsid w:val="00F83E5D"/>
    <w:rsid w:val="00F95579"/>
    <w:rsid w:val="00FA2D86"/>
    <w:rsid w:val="00FA4A88"/>
    <w:rsid w:val="00FB52E8"/>
    <w:rsid w:val="00FC09D6"/>
    <w:rsid w:val="00FD0F34"/>
    <w:rsid w:val="00FD129B"/>
    <w:rsid w:val="00FD2AFC"/>
    <w:rsid w:val="00FD55E8"/>
    <w:rsid w:val="00FD6792"/>
    <w:rsid w:val="00FE251C"/>
    <w:rsid w:val="00FE3755"/>
    <w:rsid w:val="00FF2B16"/>
    <w:rsid w:val="00FF319B"/>
    <w:rsid w:val="00FF5C70"/>
    <w:rsid w:val="013B4944"/>
    <w:rsid w:val="060C6C1D"/>
    <w:rsid w:val="06BF6017"/>
    <w:rsid w:val="08A72CFC"/>
    <w:rsid w:val="08D779D7"/>
    <w:rsid w:val="0BCF1F30"/>
    <w:rsid w:val="0D4032E2"/>
    <w:rsid w:val="0FBA7763"/>
    <w:rsid w:val="114B5BC3"/>
    <w:rsid w:val="138A52B7"/>
    <w:rsid w:val="14EF1875"/>
    <w:rsid w:val="17832749"/>
    <w:rsid w:val="17FA6EAF"/>
    <w:rsid w:val="1A2A15A2"/>
    <w:rsid w:val="1C0527A2"/>
    <w:rsid w:val="1CEF5231"/>
    <w:rsid w:val="1E504D9B"/>
    <w:rsid w:val="1F9A422B"/>
    <w:rsid w:val="209A60B4"/>
    <w:rsid w:val="20D67D8D"/>
    <w:rsid w:val="26E03714"/>
    <w:rsid w:val="26F86CAF"/>
    <w:rsid w:val="27B801ED"/>
    <w:rsid w:val="29C410CB"/>
    <w:rsid w:val="2DC96935"/>
    <w:rsid w:val="2E376E42"/>
    <w:rsid w:val="2F1A6CB6"/>
    <w:rsid w:val="315947EF"/>
    <w:rsid w:val="357D4824"/>
    <w:rsid w:val="35867B7C"/>
    <w:rsid w:val="377C2FE5"/>
    <w:rsid w:val="3C795D45"/>
    <w:rsid w:val="3C812E4B"/>
    <w:rsid w:val="3E0E6961"/>
    <w:rsid w:val="3F9609BC"/>
    <w:rsid w:val="40C6671E"/>
    <w:rsid w:val="41111921"/>
    <w:rsid w:val="41925CDD"/>
    <w:rsid w:val="41EC7C91"/>
    <w:rsid w:val="42C43A92"/>
    <w:rsid w:val="44242A3A"/>
    <w:rsid w:val="46263936"/>
    <w:rsid w:val="477E06B3"/>
    <w:rsid w:val="489B5295"/>
    <w:rsid w:val="491F7C74"/>
    <w:rsid w:val="49246C51"/>
    <w:rsid w:val="4BCD1C09"/>
    <w:rsid w:val="4D023B34"/>
    <w:rsid w:val="4D590D83"/>
    <w:rsid w:val="4FC652ED"/>
    <w:rsid w:val="50453176"/>
    <w:rsid w:val="50E70180"/>
    <w:rsid w:val="5191416E"/>
    <w:rsid w:val="526B217C"/>
    <w:rsid w:val="54FB3CA7"/>
    <w:rsid w:val="556F5ADF"/>
    <w:rsid w:val="578266DD"/>
    <w:rsid w:val="59D31DCA"/>
    <w:rsid w:val="5A845B89"/>
    <w:rsid w:val="5C0827EA"/>
    <w:rsid w:val="5D0B07E3"/>
    <w:rsid w:val="5D942587"/>
    <w:rsid w:val="5E437E22"/>
    <w:rsid w:val="5F896C07"/>
    <w:rsid w:val="63911317"/>
    <w:rsid w:val="64406FC4"/>
    <w:rsid w:val="65693C8C"/>
    <w:rsid w:val="65A672FB"/>
    <w:rsid w:val="670F0ED0"/>
    <w:rsid w:val="68224C33"/>
    <w:rsid w:val="68DF4CD8"/>
    <w:rsid w:val="6B3B2294"/>
    <w:rsid w:val="6DB30807"/>
    <w:rsid w:val="6E153270"/>
    <w:rsid w:val="6EF56BFD"/>
    <w:rsid w:val="6EF74724"/>
    <w:rsid w:val="6FEA4288"/>
    <w:rsid w:val="6FFE1AE2"/>
    <w:rsid w:val="70026FF1"/>
    <w:rsid w:val="700D2B1A"/>
    <w:rsid w:val="71CB1E97"/>
    <w:rsid w:val="76C72E9F"/>
    <w:rsid w:val="76D02907"/>
    <w:rsid w:val="770B3462"/>
    <w:rsid w:val="77C3576A"/>
    <w:rsid w:val="78AD0549"/>
    <w:rsid w:val="791F3EF0"/>
    <w:rsid w:val="7B803CF3"/>
    <w:rsid w:val="7BF538C2"/>
    <w:rsid w:val="7D0A633A"/>
    <w:rsid w:val="7D533030"/>
    <w:rsid w:val="7F1B620C"/>
    <w:rsid w:val="7F4514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Date"/>
    <w:basedOn w:val="1"/>
    <w:next w:val="1"/>
    <w:link w:val="10"/>
    <w:semiHidden/>
    <w:unhideWhenUsed/>
    <w:qFormat/>
    <w:uiPriority w:val="99"/>
    <w:pPr>
      <w:ind w:left="100" w:leftChars="2500"/>
    </w:pPr>
  </w:style>
  <w:style w:type="paragraph" w:styleId="4">
    <w:name w:val="Balloon Text"/>
    <w:basedOn w:val="1"/>
    <w:link w:val="11"/>
    <w:semiHidden/>
    <w:unhideWhenUsed/>
    <w:qFormat/>
    <w:uiPriority w:val="99"/>
    <w:rPr>
      <w:sz w:val="18"/>
      <w:szCs w:val="18"/>
    </w:rPr>
  </w:style>
  <w:style w:type="paragraph" w:styleId="5">
    <w:name w:val="footer"/>
    <w:basedOn w:val="1"/>
    <w:link w:val="15"/>
    <w:semiHidden/>
    <w:unhideWhenUsed/>
    <w:qFormat/>
    <w:uiPriority w:val="99"/>
    <w:pPr>
      <w:tabs>
        <w:tab w:val="center" w:pos="4153"/>
        <w:tab w:val="right" w:pos="8306"/>
      </w:tabs>
      <w:snapToGrid w:val="0"/>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u w:val="single"/>
    </w:rPr>
  </w:style>
  <w:style w:type="character" w:customStyle="1" w:styleId="10">
    <w:name w:val="日期 Char"/>
    <w:basedOn w:val="8"/>
    <w:link w:val="3"/>
    <w:semiHidden/>
    <w:qFormat/>
    <w:uiPriority w:val="99"/>
  </w:style>
  <w:style w:type="character" w:customStyle="1" w:styleId="11">
    <w:name w:val="批注框文本 Char"/>
    <w:basedOn w:val="8"/>
    <w:link w:val="4"/>
    <w:semiHidden/>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NormalCharacter"/>
    <w:semiHidden/>
    <w:qFormat/>
    <w:uiPriority w:val="0"/>
  </w:style>
  <w:style w:type="character" w:customStyle="1" w:styleId="14">
    <w:name w:val="页眉 Char"/>
    <w:basedOn w:val="8"/>
    <w:link w:val="6"/>
    <w:semiHidden/>
    <w:qFormat/>
    <w:uiPriority w:val="99"/>
    <w:rPr>
      <w:kern w:val="2"/>
      <w:sz w:val="18"/>
      <w:szCs w:val="18"/>
    </w:rPr>
  </w:style>
  <w:style w:type="character" w:customStyle="1" w:styleId="15">
    <w:name w:val="页脚 Char"/>
    <w:basedOn w:val="8"/>
    <w:link w:val="5"/>
    <w:semiHidden/>
    <w:qFormat/>
    <w:uiPriority w:val="99"/>
    <w:rPr>
      <w:kern w:val="2"/>
      <w:sz w:val="18"/>
      <w:szCs w:val="18"/>
    </w:rPr>
  </w:style>
  <w:style w:type="character" w:customStyle="1" w:styleId="16">
    <w:name w:val="font21"/>
    <w:basedOn w:val="8"/>
    <w:uiPriority w:val="0"/>
    <w:rPr>
      <w:rFonts w:hint="eastAsia" w:ascii="仿宋_GB2312" w:eastAsia="仿宋_GB2312" w:cs="仿宋_GB2312"/>
      <w:color w:val="000000"/>
      <w:sz w:val="28"/>
      <w:szCs w:val="28"/>
      <w:u w:val="none"/>
    </w:rPr>
  </w:style>
  <w:style w:type="character" w:customStyle="1" w:styleId="17">
    <w:name w:val="font61"/>
    <w:basedOn w:val="8"/>
    <w:qFormat/>
    <w:uiPriority w:val="0"/>
    <w:rPr>
      <w:rFonts w:hint="default" w:ascii="Times New Roman" w:hAnsi="Times New Roman" w:cs="Times New Roman"/>
      <w:color w:val="000000"/>
      <w:sz w:val="28"/>
      <w:szCs w:val="28"/>
      <w:u w:val="none"/>
    </w:rPr>
  </w:style>
  <w:style w:type="character" w:customStyle="1" w:styleId="18">
    <w:name w:val="font91"/>
    <w:basedOn w:val="8"/>
    <w:qFormat/>
    <w:uiPriority w:val="0"/>
    <w:rPr>
      <w:rFonts w:hint="eastAsia" w:ascii="仿宋_GB2312" w:eastAsia="仿宋_GB2312" w:cs="仿宋_GB2312"/>
      <w:color w:val="000000"/>
      <w:sz w:val="28"/>
      <w:szCs w:val="28"/>
      <w:u w:val="none"/>
    </w:rPr>
  </w:style>
  <w:style w:type="character" w:customStyle="1" w:styleId="19">
    <w:name w:val="font01"/>
    <w:basedOn w:val="8"/>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7812</Words>
  <Characters>8218</Characters>
  <Lines>90</Lines>
  <Paragraphs>25</Paragraphs>
  <TotalTime>1</TotalTime>
  <ScaleCrop>false</ScaleCrop>
  <LinksUpToDate>false</LinksUpToDate>
  <CharactersWithSpaces>8248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2021-06-15T01:36:00Z</dcterms:created>
  <dc:creator>柯志坚</dc:creator>
  <cp:lastModifiedBy>倪肖舒童</cp:lastModifiedBy>
  <cp:lastPrinted>2022-06-13T00:43:00Z</cp:lastPrinted>
  <dcterms:modified xsi:type="dcterms:W3CDTF">2022-06-17T01:30:47Z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87615B72C12649FBADB6807719D34679</vt:lpwstr>
  </property>
</Properties>
</file>