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53"/>
        <w:gridCol w:w="1454"/>
        <w:gridCol w:w="1453"/>
        <w:gridCol w:w="145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69" w:type="dxa"/>
            <w:vAlign w:val="center"/>
          </w:tcPr>
          <w:p>
            <w:pPr>
              <w:ind w:firstLine="240" w:firstLineChars="100"/>
              <w:rPr>
                <w:rFonts w:ascii="Times New Roman" w:hAnsi="Times New Roman" w:eastAsia="仿宋_GB2312"/>
                <w:sz w:val="24"/>
              </w:rPr>
            </w:pPr>
            <w:bookmarkStart w:id="0" w:name="_GoBack"/>
            <w:bookmarkEnd w:id="0"/>
            <w:r>
              <w:rPr>
                <w:rFonts w:ascii="Times New Roman" w:hAnsi="Times New Roman" w:eastAsia="仿宋_GB2312"/>
                <w:sz w:val="24"/>
              </w:rPr>
              <w:t>集体名称</w:t>
            </w:r>
          </w:p>
        </w:tc>
        <w:tc>
          <w:tcPr>
            <w:tcW w:w="7271" w:type="dxa"/>
            <w:gridSpan w:val="5"/>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8"/>
                <w:szCs w:val="28"/>
              </w:rPr>
              <w:t>武昌首义学院城市建设学院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569"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集体性质</w:t>
            </w:r>
          </w:p>
        </w:tc>
        <w:tc>
          <w:tcPr>
            <w:tcW w:w="1453"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民办全日制普通本科</w:t>
            </w:r>
          </w:p>
        </w:tc>
        <w:tc>
          <w:tcPr>
            <w:tcW w:w="1454"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性质</w:t>
            </w:r>
          </w:p>
          <w:p>
            <w:pPr>
              <w:spacing w:line="400" w:lineRule="exact"/>
              <w:jc w:val="center"/>
              <w:rPr>
                <w:rFonts w:ascii="Times New Roman" w:hAnsi="Times New Roman" w:eastAsia="仿宋_GB2312"/>
                <w:sz w:val="24"/>
              </w:rPr>
            </w:pPr>
            <w:r>
              <w:rPr>
                <w:rFonts w:ascii="Times New Roman" w:hAnsi="Times New Roman" w:eastAsia="仿宋_GB2312"/>
                <w:sz w:val="24"/>
              </w:rPr>
              <w:t>级别</w:t>
            </w:r>
          </w:p>
        </w:tc>
        <w:tc>
          <w:tcPr>
            <w:tcW w:w="1453"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无</w:t>
            </w:r>
          </w:p>
        </w:tc>
        <w:tc>
          <w:tcPr>
            <w:tcW w:w="1454"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人员</w:t>
            </w:r>
          </w:p>
          <w:p>
            <w:pPr>
              <w:spacing w:line="400" w:lineRule="exact"/>
              <w:jc w:val="center"/>
              <w:rPr>
                <w:rFonts w:ascii="Times New Roman" w:hAnsi="Times New Roman" w:eastAsia="仿宋_GB2312"/>
                <w:sz w:val="24"/>
              </w:rPr>
            </w:pPr>
            <w:r>
              <w:rPr>
                <w:rFonts w:ascii="Times New Roman" w:hAnsi="Times New Roman" w:eastAsia="仿宋_GB2312"/>
                <w:sz w:val="24"/>
              </w:rPr>
              <w:t>总数</w:t>
            </w:r>
          </w:p>
        </w:tc>
        <w:tc>
          <w:tcPr>
            <w:tcW w:w="1457"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569" w:type="dxa"/>
            <w:vAlign w:val="center"/>
          </w:tcPr>
          <w:p>
            <w:pPr>
              <w:spacing w:line="400" w:lineRule="exact"/>
              <w:jc w:val="distribute"/>
              <w:rPr>
                <w:rFonts w:ascii="Times New Roman" w:hAnsi="Times New Roman" w:eastAsia="仿宋_GB2312"/>
                <w:sz w:val="24"/>
              </w:rPr>
            </w:pPr>
            <w:r>
              <w:rPr>
                <w:rFonts w:ascii="Times New Roman" w:hAnsi="Times New Roman" w:eastAsia="仿宋_GB2312"/>
                <w:sz w:val="24"/>
              </w:rPr>
              <w:t>负责人</w:t>
            </w:r>
          </w:p>
          <w:p>
            <w:pPr>
              <w:spacing w:line="400" w:lineRule="exact"/>
              <w:jc w:val="distribute"/>
              <w:rPr>
                <w:rFonts w:ascii="Times New Roman" w:hAnsi="Times New Roman" w:eastAsia="仿宋_GB2312"/>
                <w:sz w:val="24"/>
              </w:rPr>
            </w:pPr>
            <w:r>
              <w:rPr>
                <w:rFonts w:ascii="Times New Roman" w:hAnsi="Times New Roman" w:eastAsia="仿宋_GB2312"/>
                <w:sz w:val="24"/>
              </w:rPr>
              <w:t>姓名</w:t>
            </w:r>
          </w:p>
        </w:tc>
        <w:tc>
          <w:tcPr>
            <w:tcW w:w="1453"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冯仲仁</w:t>
            </w:r>
          </w:p>
        </w:tc>
        <w:tc>
          <w:tcPr>
            <w:tcW w:w="1454"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职务</w:t>
            </w:r>
          </w:p>
        </w:tc>
        <w:tc>
          <w:tcPr>
            <w:tcW w:w="1453"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院长</w:t>
            </w:r>
          </w:p>
        </w:tc>
        <w:tc>
          <w:tcPr>
            <w:tcW w:w="1454"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身份</w:t>
            </w:r>
          </w:p>
          <w:p>
            <w:pPr>
              <w:spacing w:line="400" w:lineRule="exact"/>
              <w:jc w:val="center"/>
              <w:rPr>
                <w:rFonts w:ascii="Times New Roman" w:hAnsi="Times New Roman" w:eastAsia="仿宋_GB2312"/>
                <w:sz w:val="24"/>
              </w:rPr>
            </w:pPr>
            <w:r>
              <w:rPr>
                <w:rFonts w:ascii="Times New Roman" w:hAnsi="Times New Roman" w:eastAsia="仿宋_GB2312"/>
                <w:sz w:val="24"/>
              </w:rPr>
              <w:t>证号</w:t>
            </w:r>
          </w:p>
        </w:tc>
        <w:tc>
          <w:tcPr>
            <w:tcW w:w="1457" w:type="dxa"/>
            <w:vAlign w:val="center"/>
          </w:tcPr>
          <w:p>
            <w:pPr>
              <w:spacing w:line="400" w:lineRule="exac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exact"/>
          <w:jc w:val="center"/>
        </w:trPr>
        <w:tc>
          <w:tcPr>
            <w:tcW w:w="1569"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奖惩情况</w:t>
            </w:r>
          </w:p>
        </w:tc>
        <w:tc>
          <w:tcPr>
            <w:tcW w:w="7271" w:type="dxa"/>
            <w:gridSpan w:val="5"/>
            <w:vAlign w:val="center"/>
          </w:tcPr>
          <w:p>
            <w:pPr>
              <w:pStyle w:val="2"/>
              <w:rPr>
                <w:rFonts w:eastAsia="仿宋_GB2312"/>
                <w:b/>
                <w:bCs/>
                <w:sz w:val="24"/>
              </w:rPr>
            </w:pPr>
            <w:r>
              <w:rPr>
                <w:rFonts w:hint="eastAsia" w:eastAsia="仿宋_GB2312"/>
                <w:b/>
                <w:bCs/>
                <w:sz w:val="24"/>
              </w:rPr>
              <w:t>近5年城市建设学院所获校级集体荣誉：</w:t>
            </w:r>
          </w:p>
          <w:p>
            <w:pPr>
              <w:pStyle w:val="2"/>
              <w:rPr>
                <w:rFonts w:eastAsia="仿宋_GB2312"/>
                <w:sz w:val="24"/>
              </w:rPr>
            </w:pPr>
            <w:r>
              <w:rPr>
                <w:rFonts w:hint="eastAsia" w:eastAsia="仿宋_GB2312"/>
                <w:sz w:val="24"/>
              </w:rPr>
              <w:t>2018年-2022年，连续</w:t>
            </w:r>
            <w:r>
              <w:rPr>
                <w:rFonts w:hint="eastAsia" w:eastAsia="仿宋_GB2312"/>
                <w:b/>
                <w:bCs/>
                <w:sz w:val="24"/>
              </w:rPr>
              <w:t>四年</w:t>
            </w:r>
            <w:r>
              <w:rPr>
                <w:rFonts w:hint="eastAsia" w:eastAsia="仿宋_GB2312"/>
                <w:sz w:val="24"/>
              </w:rPr>
              <w:t>获得年度工作“创新奖”；</w:t>
            </w:r>
          </w:p>
          <w:p>
            <w:pPr>
              <w:pStyle w:val="2"/>
              <w:rPr>
                <w:rFonts w:eastAsia="仿宋_GB2312"/>
                <w:sz w:val="24"/>
              </w:rPr>
            </w:pPr>
            <w:r>
              <w:rPr>
                <w:rFonts w:hint="eastAsia" w:eastAsia="仿宋_GB2312"/>
                <w:sz w:val="24"/>
              </w:rPr>
              <w:t>2018年，获2018届本科毕业设计/论文工作优秀学院；</w:t>
            </w:r>
          </w:p>
          <w:p>
            <w:pPr>
              <w:pStyle w:val="2"/>
              <w:rPr>
                <w:rFonts w:eastAsia="仿宋_GB2312"/>
                <w:sz w:val="24"/>
              </w:rPr>
            </w:pPr>
            <w:r>
              <w:rPr>
                <w:rFonts w:hint="eastAsia" w:eastAsia="仿宋_GB2312"/>
                <w:sz w:val="24"/>
              </w:rPr>
              <w:t>2021年，城建学院党总支获先进基层党组织称号</w:t>
            </w:r>
          </w:p>
          <w:p>
            <w:pPr>
              <w:pStyle w:val="2"/>
              <w:rPr>
                <w:rFonts w:eastAsia="仿宋_GB2312"/>
                <w:sz w:val="24"/>
              </w:rPr>
            </w:pPr>
            <w:r>
              <w:rPr>
                <w:rFonts w:hint="eastAsia" w:eastAsia="仿宋_GB2312"/>
                <w:sz w:val="24"/>
              </w:rPr>
              <w:t>2021年，获2021年度国家自然科学基金项目管理工作先进单位称号；</w:t>
            </w:r>
          </w:p>
          <w:p>
            <w:pPr>
              <w:pStyle w:val="2"/>
              <w:rPr>
                <w:rFonts w:eastAsia="仿宋_GB2312"/>
                <w:sz w:val="24"/>
              </w:rPr>
            </w:pPr>
            <w:r>
              <w:rPr>
                <w:rFonts w:eastAsia="仿宋_GB2312"/>
                <w:sz w:val="24"/>
              </w:rPr>
              <w:t>2022</w:t>
            </w:r>
            <w:r>
              <w:rPr>
                <w:rFonts w:hint="eastAsia" w:eastAsia="仿宋_GB2312"/>
                <w:sz w:val="24"/>
              </w:rPr>
              <w:t>年，获2022届毕业生就业先进集体（第一名）；</w:t>
            </w:r>
          </w:p>
          <w:p>
            <w:pPr>
              <w:pStyle w:val="2"/>
              <w:rPr>
                <w:rFonts w:eastAsia="仿宋_GB2312"/>
                <w:sz w:val="24"/>
              </w:rPr>
            </w:pPr>
            <w:r>
              <w:rPr>
                <w:rFonts w:hint="eastAsia" w:eastAsia="仿宋_GB2312"/>
                <w:sz w:val="24"/>
              </w:rPr>
              <w:t>2022年，获新闻宣传先进集体；</w:t>
            </w:r>
          </w:p>
          <w:p>
            <w:pPr>
              <w:pStyle w:val="2"/>
              <w:rPr>
                <w:rFonts w:eastAsia="仿宋_GB2312"/>
                <w:sz w:val="24"/>
              </w:rPr>
            </w:pPr>
            <w:r>
              <w:rPr>
                <w:rFonts w:hint="eastAsia" w:eastAsia="仿宋_GB2312"/>
                <w:sz w:val="24"/>
              </w:rPr>
              <w:t>2021-2023学年，获先进基层分工会。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jc w:val="center"/>
        </w:trPr>
        <w:tc>
          <w:tcPr>
            <w:tcW w:w="1569" w:type="dxa"/>
            <w:vAlign w:val="center"/>
          </w:tcPr>
          <w:p>
            <w:pPr>
              <w:tabs>
                <w:tab w:val="left" w:pos="645"/>
              </w:tabs>
              <w:spacing w:line="400" w:lineRule="exact"/>
              <w:jc w:val="center"/>
              <w:rPr>
                <w:rFonts w:ascii="Times New Roman" w:hAnsi="Times New Roman" w:eastAsia="仿宋_GB2312"/>
                <w:sz w:val="24"/>
              </w:rPr>
            </w:pPr>
            <w:r>
              <w:rPr>
                <w:rFonts w:ascii="Times New Roman" w:hAnsi="Times New Roman" w:eastAsia="仿宋_GB2312"/>
                <w:sz w:val="24"/>
              </w:rPr>
              <w:t>主要事迹</w:t>
            </w:r>
          </w:p>
        </w:tc>
        <w:tc>
          <w:tcPr>
            <w:tcW w:w="7271" w:type="dxa"/>
            <w:gridSpan w:val="5"/>
          </w:tcPr>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武昌首义学院城市建设学院认真贯彻习近平总书记关于教育的重要论述，始终坚持内涵发展、特色发展、创新发展，带领全院教职工上下积极主动探索应用型人才培养有效途径，立足湖北、面向中部、辐射全国，为土木建筑、绿色环保生态等领域源源不断地输送高质量应用型人才和为我省建设全国构建新发展格局先行区提供更好的人才保障、智力服务和科技支撑而不断努力，在思政教育、学科专业、师资建设、人才培养、科研服务等工作方面取得了优异成绩，为学校改革发展作出了重要贡献。</w:t>
            </w:r>
          </w:p>
          <w:p>
            <w:pPr>
              <w:spacing w:line="240" w:lineRule="auto"/>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一、党建引领，明确使命途径</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（一）立德树人为方向</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牢记“为党育人、为国育才”的初心使命，坚持党的全面领导，秉承“学以广才、志以成学”的校训，践行“敢为人先、自强不息”的学校精神，坚持“立德树人、质量为本”的办学理念，坚持三全育人、五育并育，以爱国主义教育、文明养成教育、专业技能教育、创新创业实践教育为主要途径，全面构建适应智能建造和生态环保产业需求的应用型人才体系。</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（二）课程思政进课堂</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精心凝练出与课程教学内容和课程目标相契合的家国情怀、文化自信、工匠精神、责任担当、生态文明等与学院专业高度契合“思政”的元素，并通过案例牵引的方式，将其有机融合到教学过程中，确定课程思政育人目标，建立课程思政体系。课程团队通过深入挖掘提炼课程中蕴含的思政元素，探索课程思政进课堂，将立德树人落实于课堂教学的主渠道中，深受学生喜爱。学院每学年汇编优质案例20余项，获批校级课程思政示范立项4项、获首届智慧树杯课程思政示范案例教学大赛优秀奖1项。</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（三）落实三全育人，加强帮扶工作</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成立以书记和院长为组长的三全育人领导小组，建立健全三全育人机制，做到“三个深入”，即全员深入学生宿舍、深入学生课堂、深入到学生的二课活动当中去，察民情、解民忧、办实事，做到精准帮扶。书记帮扶的贫困毕业生程某，该生因父亲离世，母亲出走，跟随奶奶生活，性格孤僻自卑，通过走访家庭、谈心谈话、推荐就业等，最终该生顺利入职。院长帮助考研学生联系调剂学校12人次，使学生顺利升学。生物博士通过科研工作，带动学生积极参与双创项目，并利用科研院所资源，为学生提供专业研究学习平台，使班级考研率达到63%。教学副院长舍小家，顾大家，经常指导学生实验实训设计，促进专业就业率达100%，学生广受用人单位好评。</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（四）诚信教育贯穿全始终</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高度重视学风建设和诚信教育，以诚信教育为主抓手，倡导学生信做人、诚信做事、诚信考试、诚信求学，诚信教育贯穿大学阶段始终，毕业时对诚信表现优异的学生颁发荣誉证书。学院开展诚信表彰已有七年，取得了良好效果，活动对培育学生思想品德、打造学生工作品牌起到了积极作用，同时让诚信作为一种责任和人生准则，成为学生成长成才路上的敲门砖。</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 党建与业务工作“同频共振。</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党总支坚持把支部工作模式创新与业务发展相结合，带领广大教职员工深入思考，精心设计并组织开展各具特色的党课学习活动。实施“双带头人”培育工程，创新党课模式，采取支委讲专题党课与党员讲微党课相结合，“请进来”讲与“换角度”谈相结合，政治理论学习与业务理论学习相结合的形式，不断加强党员理想信念教育，实现了党建与业务工作“同频共振”。2021年，学院党总支获得学校优秀基层单位；2022年，学生第一党支部获得学校优秀基层党支部、学院成立的以宣传习近平中国特色社会主义思想为主线的“红声宣讲团”获批全国千名宣讲团荣誉称号。</w:t>
            </w:r>
          </w:p>
          <w:p>
            <w:pPr>
              <w:spacing w:line="240" w:lineRule="auto"/>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二、守正创新，强化内涵建设</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（一）以“以德为先”涵育优秀教师队伍。</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始终把加强教师队伍建设作为教育事业发展最重要的基础工作来抓，按照“教师为本、师德为先，引培并举、专兼结合”的建设思路，不断强化教师培养培训，打造一支满足应用型人才培养的师德师风优良、理论功底深厚、实践经验丰富高素质师资队伍。目前专任教师70人，其中教授（含其他正高级）7人、副教授（含其他副高级）36人，博士12人，高级职称占比60%，博士学位率17%，双师型教师近50%。同时聘请华中科技大学、武汉大学、武汉理工大学、华中农业大学等重点高校学者教授和业界高管为兼职教授，在学科专业建设、教学研究、科学研究等方面发挥重要引领作用。</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院教师以强烈的事业心和责任感，积极支持和高度忠于我党教育事业，用满腔热情践行初心使命，深耕教育教学，专业功底扎实，潜心钻研科研，育人尽心有方，为学生健康成长成才筑基助力，为学校教育事业高质量发展增光添彩，彰显了立德树人高尚师德，深受学生爱戴、同事信任和学校好评，在学院和学校师生中发挥了良好的标杆典型示范效应。城建学院教学院长莫文婷教授获得湖北省“师德师风”先进个人荣誉称号；生物工程专业学科带头人张小菊教授获得湖北省荆楚好老师（提名奖）；孙素博士获得湖北省楚天学子荣誉称号；辅导员张晶获得全国民办优秀高校辅导员称号。</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（二）以“信息技术”推动一流专业建设。</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以服务地方智慧绿色城市需求为导向，围绕着提升人才培养质量为核心，以“信息技术”推动一流本科专业建设。学院设有土木工程、智能建造、工程造价、给排水科学与工程、环境工程、生物工程等6个本科专业和建筑工程技术（智能建造方向）1个专科专业。</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以现有专业设置及布局为基础，学院按照学校“以一流标准建设优势专业，以国家战略导向培育新兴专业，以信息技术提升传统专业，以社会需求动态调整专业”的专业建设思路，紧密对接产业和岗位需求，打造人才培养特色。一方面，响应建筑行业发展转型升级需求，对土木工程和工程造价等专业进行新工科改造，即智能化和信息化改造，开设了BIM和装配式建筑等新技术的课程，以此为基础创办了新工科专业—智能建造；另一方面，紧抓“新工科”建设和湖北省十大支柱产业建设契机，积极走出去与农科院、水产所、油料所等科研机构进行深度科研合作的同时，重视请进来符合区域经济发展和长江经济带亟需行业的博士、专家加入生物工程教师队伍开展教学工作，不断提升生物工程专业科研力量和水平；同时，围绕生态环保专业群，密切关注光谷生物城的发展动向，教学内容中增加了基因分子技术，免疫检测技术，生物信息技术等，与农科院，水生所等开展密切合作，探索了研究应用型人才培养新途径。</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近些年来，在学科专业和团队建设工作中取得了丰硕成果：土木工程专业获批“十四五”湖北省高等学校优势特色学科立项建设、省级一流本科专业建设点、湖北省专业综合改革试点专业和校级“品牌专业”荣誉称号；生物工程获批省级一流本科专业建设点、湖北省战略性新兴(支柱)产业人才培养计划专业；环境工程专业获批湖北省专业综合改革试点专业；土木工程“力学-结构-施工”核心课程教学团队、生物工程应用型人才培养团队先后荣获“省级教学团队”荣誉称号；环境与生物工程教研室获批湖北高校省级优秀基层教学组织；</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（三）以“质量为本”促进课程建设。</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课程建设一直是学院中心工作之一，以金课标准进行课程建设。“土木工程施工”课程与超星合作录制课程视频，目前点击量超过10万。“土木工程概论”课程，自编教材，很多同类高校使用。这两门课也获得的湖北省一流本科课程。</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与超星合作录制“现代土木工程施工-当惊世界殊”，体现现代土木超级工程技术，目前点击量突破10万，开启了全新的土木工程施工授课方式。</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教师自主编写应用型人才培养系列教材17部，其中《土木工程概论》已被多所普通高校选作课程教材。</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学院大力推广项目教学法、虚拟场景教学、拓展教学等方法。引导教师按照“导，学，展，练，评”的模式来组织教学。</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学院重视线上资源建设，每门课程都建设的大量的线上资源，其中一位老师录制有3000多分钟的视频资源。</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注重对学生思想品质、科学素养、工程伦理的培养，建立以“学生中心、产出导向、持续改进”的OBE理念引领构建应用型人才教育教学模式，以课程为重要载体、以课堂为核心阵地，按照“以学生为中心、以能力为导向”分批开展OBE示范课程建设。OBE示范课程建设经验在全校推广，并以这种理念引导和促进专业建设和教学改革，学院全面坚持“教学、科研、育人三位一体”，结合专业特点分类推进科研反哺教学优秀案例、课程思政示范课程、一流本科课程建设，通过教学方法更新、教学组织改革、网上资源建设、考核方法改革、学生上课抢占前三排、课堂笔记大赛等措施，充分发挥课堂教学、科研育人在人才培养中的主渠道作用。近年来，学院获批湖北省一流本科课程4门，湖北高校省级精品资源共享课2门，“学银在线”正式上线课程1门，首届“智慧树杯”课程思政示范案例入围奖1项；校级一流本科课程15门，校级课程思政示范课程4门，为保障和提高人才培养质量夯实基础。</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（四）以“改革创新”开展教研科研。</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坚持科研工作“凝练方向，锻炼队伍，服务社会”指导方针，逐步形成了若干个稳定的研究方向：新型传感元件及智能结构研究与开发、土木工程设施智能建造全过程研究等。初步形成的科研团队，获批2项国家自然科学基金项目、2个省级优秀中青年科技创新团队（环境污染治理与资源化团队、废旧锂电池再生利用研究团队）。土木工程学科获得了湖北省十四五规划高校优势特色学科建设项目</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近年来，学院教师主持承担国家自然科学基金3项，省（厅）级教科研项目30余项，发表学术论文100余篇，获得发明专利、软著等近20项，主编或参编教材、专著近20部，教师积极开展横向课题研究经费近400万元。同时，学院积极倡导科研项目反哺教学，科研项目转化为双创项目等，有效地提高了学生的实践创新能力，让服务应用型人才培养真正落地。</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重视教学研究，以支撑学科专业建设。近年来，教改教研成果突出，已获湖北省教学研究改革项目10项、教育部教学指导委员会教学研究改革项目1项、教育部供需对接就业育人项目2项、校级教学研究改革项目20余项。学院总结、推广的教育教学经验，已获湖北省教学成果二、三等奖各1项，校级教学成果特等奖1项、一等奖1项及其它奖项若干。</w:t>
            </w:r>
          </w:p>
          <w:p>
            <w:pPr>
              <w:spacing w:line="240" w:lineRule="auto"/>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三、协同融合，打造育人特色</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注重“产学研用”融合，借力校地企紧密协作，培养具备核心能力的高素质应用型人才，实现人才培养规格与行业企业发展同向同行，满足地方区域产业发展需求，以“四方协同与融合”，打造首义学院“特色育人”。</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（一）校企协同，共建专业和实验室。</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聚焦应用型人才培养，服务地方区域经济社会发展，坚持以校企合作为应用型人才培养的重要抓手，与湖北城铁集团共建智能建造（本科）、建筑工程技术（专科）专业，为地方产业培养“人岗相适”的应用型人才。深化校企合作产教融合，与中煤武汉设计院、武汉芳笛环保有限公司共建实习实训基地和专业实验室，资源共享、科技协同，实现校企合作共赢。</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（二）校内协同，开展科技创新活动。</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与图书馆搭建学科专业素养测试平台，若干课程开展图书馆嵌入教学，用于提升学生的专业素养并测试培养效果。校团委指导，建立6个学术协会，开展学术月活动，搭建学生实现自主实践和创新能力培养平台。</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（三）科教协同，提高应用科研能力。</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共同参与湖北省农业科学研究院（农药所、植保所）科研课题、与中科院武汉水生所共同合作毕业论文15人次、到中国水产科学研究参加实习和共同合作毕业论文共计100余人次……提高了师生科研水平。2018年以来，学生发表科技论文23篇，其中SCI收录2篇，EI收录1篇，核心期刊6篇。</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（四）校际协同，共享教学资源。</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与湖北工业大学联合培养硕士研究生，与武汉工程签订大学研究生优质生源基地，与武汉大学、武汉理工大学联合培养访问学者累计7名，使得师生在培养项目中得到成长，为地方、学院发展注入了强大的人才力量。</w:t>
            </w:r>
          </w:p>
          <w:p>
            <w:pPr>
              <w:spacing w:line="240" w:lineRule="auto"/>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四、实践创新，培养“高素质应用型人才”</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（一）学生创新能力高</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城建学子在双创项目立项和科技论文发表方面取得优异成绩，2017和2018年立项数占学校近一半。2019年以后国家级立项3项，省级立项17项。2018年以来，学生发表科技论文23篇，其中SCI论文2篇，EI论文1篇，核心期刊论文6篇。</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（二）学生竞赛获奖多</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城建学子全国结构设计信息大赛、全国生物工程技能大赛、全国施工技术应用技能大赛、全国周培源力学竞赛、湖北省结构设计竞赛近5年获得国家级奖项80余项，省级奖项130余项。 2021年全国大学生结构设计竞赛，以湖北省第1名晋级国赛，在全国比赛中，与来自包括清华大学、同济大学和浙江大学等112支队伍同台竞技，最终以总分第10的成绩，勇夺一等奖，实现了我校历史性突破！</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学院红声宣讲团入选2021年“强国有我</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核</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你一起”千支大学生志愿服务宣讲团及2022年全国大学生科技志愿服务示范团队；2023年，学院红声宣讲团入选全国大学生“防治结核志愿有我志愿宣讲团。3个集体获湖北省优秀团支部，获学校“活力团支书”、“优秀主讲人”、“优秀毕业生”、“优秀毕业论文”30余人次。</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 学生就业创业突出</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涌现出很多就业明星，已经成为行业的中坚力量。毕业生徐四维同学，以全国第一名成绩考入外交部，目前任国外工程管理处副处长；姚本星是中国轻工武汉设计院造价所所长，在学院担任学生班主任；2021届郭佳玮同学，入选湖北省第八届“长江学子”大学生就业创业人物。</w:t>
            </w:r>
          </w:p>
          <w:p>
            <w:pPr>
              <w:spacing w:line="24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(四)学生考研录取率高就业好</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学院涌现众多考研明星，包宇飞毕业考取武汉理工大学硕士研究生，导师赞不绝口，发表多篇SCI论文。攻读中国水利水电科学研究院博士学位，毕业留在该单位工作。近3年，考研率连续稳定在20%左右，稳居全校第一！就业率连续三年超过92%，位居全校前列，实现高薪酬、高专业对口度、高就业满意度的高质量就业。</w:t>
            </w:r>
          </w:p>
          <w:p>
            <w:pPr>
              <w:spacing w:line="240" w:lineRule="auto"/>
              <w:ind w:firstLine="480" w:firstLineChars="200"/>
              <w:rPr>
                <w:rFonts w:ascii="Times New Roman" w:hAnsi="Times New Roman" w:eastAsia="仿宋_GB2312"/>
                <w:color w:val="000000" w:themeColor="text1"/>
                <w:sz w:val="24"/>
                <w14:textFill>
                  <w14:solidFill>
                    <w14:schemeClr w14:val="tx1"/>
                  </w14:solidFill>
                </w14:textFill>
              </w:rPr>
            </w:pPr>
          </w:p>
          <w:p>
            <w:pPr>
              <w:spacing w:line="240" w:lineRule="auto"/>
              <w:ind w:firstLine="480" w:firstLineChars="200"/>
              <w:rPr>
                <w:rFonts w:ascii="Times New Roman" w:hAnsi="Times New Roman" w:eastAsia="仿宋_GB2312"/>
                <w:sz w:val="24"/>
              </w:rPr>
            </w:pPr>
            <w:r>
              <w:rPr>
                <w:rFonts w:hint="eastAsia" w:ascii="Times New Roman" w:hAnsi="Times New Roman" w:eastAsia="仿宋_GB2312"/>
                <w:color w:val="000000" w:themeColor="text1"/>
                <w:sz w:val="24"/>
                <w14:textFill>
                  <w14:solidFill>
                    <w14:schemeClr w14:val="tx1"/>
                  </w14:solidFill>
                </w14:textFill>
              </w:rPr>
              <w:t>城建学院始终以学生为中心，以质量为准绳，坚持不懈夯实人才培养中心地位，完善人才培养质量保障体系，强化专业优质资源建设，进一步凝练方向、汇聚队伍、整合创新，重内涵建设，为国家和社会培养和输送一批批广受用人单位认可的高素质、高</w:t>
            </w:r>
            <w:r>
              <w:rPr>
                <w:rFonts w:hint="eastAsia" w:ascii="Times New Roman" w:hAnsi="Times New Roman" w:eastAsia="仿宋_GB2312"/>
                <w:sz w:val="24"/>
              </w:rPr>
              <w:t>能力的优秀人才！</w:t>
            </w:r>
          </w:p>
          <w:p>
            <w:pPr>
              <w:spacing w:line="380" w:lineRule="exact"/>
              <w:ind w:firstLine="480" w:firstLineChars="200"/>
              <w:rPr>
                <w:rFonts w:ascii="Times New Roman" w:hAnsi="Times New Roman" w:eastAsia="仿宋_GB2312"/>
                <w:sz w:val="24"/>
              </w:rPr>
            </w:pPr>
          </w:p>
          <w:p>
            <w:pPr>
              <w:pStyle w:val="6"/>
              <w:widowControl/>
              <w:spacing w:beforeAutospacing="0" w:afterAutospacing="0" w:line="380" w:lineRule="exact"/>
              <w:ind w:firstLine="480" w:firstLineChars="200"/>
              <w:rPr>
                <w:rFonts w:ascii="Times New Roman" w:hAnsi="Times New Roman" w:eastAsia="仿宋_GB231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k2YjM5NjQxZmZjOTAxOWMzMGZhYTA4MWUwOWNhOTAifQ=="/>
  </w:docVars>
  <w:rsids>
    <w:rsidRoot w:val="002D41AC"/>
    <w:rsid w:val="0000441B"/>
    <w:rsid w:val="00064E69"/>
    <w:rsid w:val="00174E92"/>
    <w:rsid w:val="002D41AC"/>
    <w:rsid w:val="005A5D54"/>
    <w:rsid w:val="00602BA7"/>
    <w:rsid w:val="0060463C"/>
    <w:rsid w:val="006C0FC2"/>
    <w:rsid w:val="006E2662"/>
    <w:rsid w:val="008019BE"/>
    <w:rsid w:val="00810BCC"/>
    <w:rsid w:val="00816829"/>
    <w:rsid w:val="00961EA4"/>
    <w:rsid w:val="00A24F39"/>
    <w:rsid w:val="00BE6653"/>
    <w:rsid w:val="00C219FB"/>
    <w:rsid w:val="00D26910"/>
    <w:rsid w:val="00DA15EF"/>
    <w:rsid w:val="00E61CCF"/>
    <w:rsid w:val="00E83236"/>
    <w:rsid w:val="00F20BFD"/>
    <w:rsid w:val="012D30D5"/>
    <w:rsid w:val="023F2C4B"/>
    <w:rsid w:val="05767619"/>
    <w:rsid w:val="06815BE1"/>
    <w:rsid w:val="07D551EE"/>
    <w:rsid w:val="0ADF08D0"/>
    <w:rsid w:val="0DA46AFB"/>
    <w:rsid w:val="0F6B6568"/>
    <w:rsid w:val="174E10C1"/>
    <w:rsid w:val="1FED534B"/>
    <w:rsid w:val="20EB6792"/>
    <w:rsid w:val="243A51AC"/>
    <w:rsid w:val="24886A02"/>
    <w:rsid w:val="2EF8398F"/>
    <w:rsid w:val="2F3705F2"/>
    <w:rsid w:val="2F6B0FB4"/>
    <w:rsid w:val="33AF1CD8"/>
    <w:rsid w:val="3DE84E91"/>
    <w:rsid w:val="3E2B7038"/>
    <w:rsid w:val="3E9A2CED"/>
    <w:rsid w:val="3EB63C5D"/>
    <w:rsid w:val="3FAB64B1"/>
    <w:rsid w:val="404B0FF6"/>
    <w:rsid w:val="40B040A3"/>
    <w:rsid w:val="412D7780"/>
    <w:rsid w:val="48837045"/>
    <w:rsid w:val="4E682366"/>
    <w:rsid w:val="559A7F10"/>
    <w:rsid w:val="56DE7150"/>
    <w:rsid w:val="5C8A20C7"/>
    <w:rsid w:val="63E02DF6"/>
    <w:rsid w:val="67984EB1"/>
    <w:rsid w:val="6A843983"/>
    <w:rsid w:val="6CC30C03"/>
    <w:rsid w:val="6E6A429C"/>
    <w:rsid w:val="72FF2D6E"/>
    <w:rsid w:val="74402D3A"/>
    <w:rsid w:val="77DA4A15"/>
    <w:rsid w:val="78FF0DA4"/>
    <w:rsid w:val="7B3A4316"/>
    <w:rsid w:val="7D6851AB"/>
    <w:rsid w:val="7D7D3EF6"/>
    <w:rsid w:val="7F7B45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qFormat/>
    <w:uiPriority w:val="0"/>
    <w:pPr>
      <w:widowControl w:val="0"/>
      <w:snapToGrid w:val="0"/>
    </w:pPr>
    <w:rPr>
      <w:rFonts w:ascii="Times New Roman" w:hAnsi="Times New Roman" w:eastAsia="宋体" w:cs="Times New Roman"/>
      <w:kern w:val="2"/>
      <w:sz w:val="30"/>
      <w:szCs w:val="24"/>
      <w:lang w:val="en-US" w:eastAsia="zh-CN" w:bidi="ar-SA"/>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字符"/>
    <w:basedOn w:val="8"/>
    <w:link w:val="5"/>
    <w:qFormat/>
    <w:uiPriority w:val="0"/>
    <w:rPr>
      <w:rFonts w:ascii="Calibri" w:hAnsi="Calibri"/>
      <w:kern w:val="2"/>
      <w:sz w:val="18"/>
      <w:szCs w:val="18"/>
    </w:rPr>
  </w:style>
  <w:style w:type="character" w:customStyle="1" w:styleId="12">
    <w:name w:val="页脚 字符"/>
    <w:basedOn w:val="8"/>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5678</Words>
  <Characters>5819</Characters>
  <Lines>42</Lines>
  <Paragraphs>12</Paragraphs>
  <TotalTime>1</TotalTime>
  <ScaleCrop>false</ScaleCrop>
  <LinksUpToDate>false</LinksUpToDate>
  <CharactersWithSpaces>5823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2022-04-18T02:22:00Z</dcterms:created>
  <dc:creator>Administrator.DESKTOP-QFE4J5P</dc:creator>
  <cp:lastModifiedBy>王群</cp:lastModifiedBy>
  <dcterms:modified xsi:type="dcterms:W3CDTF">2023-07-05T05:17:44Z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46E8270870F24727924477D440AE3F6C_13</vt:lpwstr>
  </property>
</Properties>
</file>