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auto"/>
        <w:jc w:val="center"/>
        <w:rPr>
          <w:rFonts w:ascii="华文中宋" w:hAnsi="华文中宋" w:eastAsia="华文中宋"/>
          <w:b/>
          <w:bCs/>
          <w:color w:val="FF0000"/>
          <w:spacing w:val="100"/>
          <w:w w:val="50"/>
          <w:kern w:val="96"/>
          <w:position w:val="-6"/>
          <w:sz w:val="108"/>
          <w:szCs w:val="108"/>
        </w:rPr>
      </w:pPr>
      <w:r>
        <w:rPr>
          <w:rFonts w:hint="eastAsia" w:ascii="华文中宋" w:hAnsi="华文中宋" w:eastAsia="华文中宋"/>
          <w:b/>
          <w:bCs/>
          <w:color w:val="FF0000"/>
          <w:spacing w:val="100"/>
          <w:w w:val="50"/>
          <w:kern w:val="96"/>
          <w:position w:val="-6"/>
          <w:sz w:val="108"/>
          <w:szCs w:val="108"/>
        </w:rPr>
        <w:t>武昌首义学院教务处文件</w:t>
      </w:r>
    </w:p>
    <w:p>
      <w:pPr>
        <w:spacing w:before="312" w:beforeLines="100" w:after="312" w:afterLines="100" w:line="240" w:lineRule="exact"/>
        <w:jc w:val="center"/>
        <w:rPr>
          <w:rFonts w:ascii="楷体_GB2312" w:eastAsia="楷体_GB2312"/>
          <w:bCs/>
          <w:color w:val="000000"/>
          <w:sz w:val="28"/>
          <w:szCs w:val="28"/>
        </w:rPr>
      </w:pPr>
      <w:r>
        <w:rPr>
          <w:rFonts w:hint="eastAsia" w:ascii="楷体_GB2312" w:eastAsia="楷体_GB2312"/>
          <w:bCs/>
          <w:color w:val="000000"/>
          <w:sz w:val="28"/>
          <w:szCs w:val="28"/>
        </w:rPr>
        <w:t>教务【20</w:t>
      </w:r>
      <w:r>
        <w:rPr>
          <w:rFonts w:ascii="楷体_GB2312" w:eastAsia="楷体_GB2312"/>
          <w:bCs/>
          <w:color w:val="000000"/>
          <w:sz w:val="28"/>
          <w:szCs w:val="28"/>
        </w:rPr>
        <w:t>23</w:t>
      </w:r>
      <w:r>
        <w:rPr>
          <w:rFonts w:hint="eastAsia" w:ascii="楷体_GB2312" w:eastAsia="楷体_GB2312"/>
          <w:bCs/>
          <w:color w:val="000000"/>
          <w:sz w:val="28"/>
          <w:szCs w:val="28"/>
        </w:rPr>
        <w:t>】第</w:t>
      </w:r>
      <w:r>
        <w:rPr>
          <w:rFonts w:hint="eastAsia" w:ascii="楷体_GB2312" w:eastAsia="楷体_GB2312"/>
          <w:bCs/>
          <w:color w:val="000000"/>
          <w:sz w:val="28"/>
          <w:szCs w:val="28"/>
          <w:lang w:val="en-US" w:eastAsia="zh-CN"/>
        </w:rPr>
        <w:t>19</w:t>
      </w:r>
      <w:r>
        <w:rPr>
          <w:rFonts w:hint="eastAsia" w:ascii="楷体_GB2312" w:eastAsia="楷体_GB2312"/>
          <w:bCs/>
          <w:color w:val="000000"/>
          <w:sz w:val="28"/>
          <w:szCs w:val="28"/>
        </w:rPr>
        <w:t>号</w:t>
      </w:r>
    </w:p>
    <w:p>
      <w:pPr>
        <w:spacing w:before="312" w:beforeLines="100" w:after="312" w:afterLines="100" w:line="240" w:lineRule="exact"/>
        <w:rPr>
          <w:rFonts w:ascii="楷体_GB2312" w:eastAsia="楷体_GB2312"/>
          <w:b/>
          <w:bCs/>
          <w:color w:val="FF0000"/>
          <w:sz w:val="18"/>
          <w:szCs w:val="18"/>
          <w:u w:val="thick"/>
        </w:rPr>
      </w:pPr>
      <w:r>
        <w:rPr>
          <w:rFonts w:hint="eastAsia" w:ascii="楷体_GB2312" w:eastAsia="楷体_GB2312"/>
          <w:b/>
          <w:bCs/>
          <w:color w:val="FF0000"/>
          <w:sz w:val="18"/>
          <w:szCs w:val="18"/>
          <w:u w:val="thick"/>
        </w:rPr>
        <w:t xml:space="preserve">                                                                                               </w:t>
      </w:r>
    </w:p>
    <w:p>
      <w:pPr>
        <w:spacing w:before="312" w:beforeLines="100" w:after="312" w:afterLines="100" w:line="360" w:lineRule="auto"/>
        <w:jc w:val="center"/>
        <w:rPr>
          <w:rFonts w:hint="eastAsia"/>
        </w:rPr>
      </w:pPr>
      <w:r>
        <w:rPr>
          <w:rFonts w:hint="eastAsia" w:ascii="宋体" w:hAnsi="宋体"/>
          <w:b/>
          <w:sz w:val="36"/>
          <w:szCs w:val="36"/>
        </w:rPr>
        <w:t>关于开展2022</w:t>
      </w:r>
      <w:r>
        <w:rPr>
          <w:rFonts w:hint="eastAsia" w:ascii="宋体" w:hAnsi="宋体"/>
          <w:b/>
          <w:sz w:val="36"/>
          <w:szCs w:val="36"/>
          <w:lang w:val="en-US" w:eastAsia="zh-CN"/>
        </w:rPr>
        <w:t>-</w:t>
      </w:r>
      <w:r>
        <w:rPr>
          <w:rFonts w:hint="eastAsia" w:ascii="宋体" w:hAnsi="宋体"/>
          <w:b/>
          <w:sz w:val="36"/>
          <w:szCs w:val="36"/>
        </w:rPr>
        <w:t>2023学年度教学质量绩效奖酬认定及评选工作的通知</w:t>
      </w:r>
    </w:p>
    <w:p>
      <w:pPr>
        <w:spacing w:line="560" w:lineRule="exact"/>
        <w:rPr>
          <w:rFonts w:hint="eastAsia" w:ascii="楷体_GB2312" w:eastAsia="楷体_GB2312"/>
          <w:sz w:val="28"/>
          <w:szCs w:val="28"/>
        </w:rPr>
      </w:pPr>
      <w:r>
        <w:rPr>
          <w:rFonts w:hint="eastAsia" w:ascii="楷体_GB2312" w:eastAsia="楷体_GB2312"/>
          <w:sz w:val="28"/>
          <w:szCs w:val="28"/>
        </w:rPr>
        <w:t>全校各有关单位：</w:t>
      </w:r>
    </w:p>
    <w:p>
      <w:pPr>
        <w:spacing w:line="560" w:lineRule="exact"/>
        <w:ind w:firstLine="560" w:firstLineChars="200"/>
        <w:rPr>
          <w:rFonts w:hint="eastAsia" w:ascii="楷体_GB2312" w:eastAsia="楷体_GB2312"/>
          <w:sz w:val="28"/>
          <w:szCs w:val="28"/>
        </w:rPr>
      </w:pPr>
      <w:r>
        <w:rPr>
          <w:rFonts w:hint="eastAsia" w:ascii="楷体_GB2312" w:eastAsia="楷体_GB2312"/>
          <w:sz w:val="28"/>
          <w:szCs w:val="28"/>
        </w:rPr>
        <w:t>根据《武昌首义学院专职教师学年度教学质量绩效奖评选与奖励办法》（院教〔2016〕89号）文件精神，学校将启动</w:t>
      </w:r>
      <w:bookmarkStart w:id="0" w:name="_Hlk146783201"/>
      <w:r>
        <w:rPr>
          <w:rFonts w:hint="eastAsia" w:ascii="楷体_GB2312" w:eastAsia="楷体_GB2312"/>
          <w:sz w:val="28"/>
          <w:szCs w:val="28"/>
        </w:rPr>
        <w:t>2022~2023</w:t>
      </w:r>
      <w:bookmarkEnd w:id="0"/>
      <w:r>
        <w:rPr>
          <w:rFonts w:hint="eastAsia" w:ascii="楷体_GB2312" w:eastAsia="楷体_GB2312"/>
          <w:sz w:val="28"/>
          <w:szCs w:val="28"/>
        </w:rPr>
        <w:t>学年度教学质量绩效奖酬认定及评选工作。现将有关事项通知如下：</w:t>
      </w:r>
    </w:p>
    <w:p>
      <w:pPr>
        <w:spacing w:line="560" w:lineRule="exact"/>
        <w:ind w:firstLine="560" w:firstLineChars="200"/>
        <w:rPr>
          <w:rFonts w:hint="eastAsia" w:ascii="楷体_GB2312" w:eastAsia="楷体_GB2312"/>
          <w:sz w:val="28"/>
          <w:szCs w:val="28"/>
        </w:rPr>
      </w:pPr>
      <w:r>
        <w:rPr>
          <w:rFonts w:hint="eastAsia" w:ascii="楷体_GB2312" w:eastAsia="楷体_GB2312"/>
          <w:sz w:val="28"/>
          <w:szCs w:val="28"/>
        </w:rPr>
        <w:t>1.各单位须成立评选小组，组长由单位负责人担任。评选工作应保证公开、公平、公正。</w:t>
      </w:r>
    </w:p>
    <w:p>
      <w:pPr>
        <w:spacing w:line="560" w:lineRule="exact"/>
        <w:ind w:firstLine="560" w:firstLineChars="200"/>
        <w:rPr>
          <w:rFonts w:hint="eastAsia" w:ascii="楷体_GB2312" w:eastAsia="楷体_GB2312"/>
          <w:sz w:val="28"/>
          <w:szCs w:val="28"/>
        </w:rPr>
      </w:pPr>
      <w:r>
        <w:rPr>
          <w:rFonts w:hint="eastAsia" w:ascii="楷体_GB2312" w:eastAsia="楷体_GB2312"/>
          <w:sz w:val="28"/>
          <w:szCs w:val="28"/>
        </w:rPr>
        <w:t>2.选择以 “在实践教学方面取得成绩”或“在学科、专业建设中做出重要贡献”为条件申报“合格”或“优秀”等级的专职教师，应提交相关文字说明材料，并经所在教学单位教学指导委员会认定后，报教务处审查。</w:t>
      </w:r>
    </w:p>
    <w:p>
      <w:pPr>
        <w:spacing w:line="560" w:lineRule="exact"/>
        <w:ind w:firstLine="560" w:firstLineChars="200"/>
        <w:rPr>
          <w:rFonts w:hint="eastAsia" w:ascii="楷体_GB2312" w:eastAsia="楷体_GB2312"/>
          <w:sz w:val="28"/>
          <w:szCs w:val="28"/>
        </w:rPr>
      </w:pPr>
      <w:r>
        <w:rPr>
          <w:rFonts w:hint="eastAsia" w:ascii="楷体_GB2312" w:eastAsia="楷体_GB2312"/>
          <w:sz w:val="28"/>
          <w:szCs w:val="28"/>
        </w:rPr>
        <w:t>3.有教学任务的实验专技人员、辅导员及行政管理人员，其学年度教学绩效奖酬按其实际完成教学工作所获酬金的15%（个人发放上限不得超过3000元/人）下发到所在单位，由所在单位负责分配，具体分配方案报教务处备案。</w:t>
      </w:r>
    </w:p>
    <w:p>
      <w:pPr>
        <w:spacing w:line="560" w:lineRule="exact"/>
        <w:ind w:firstLine="560" w:firstLineChars="200"/>
        <w:rPr>
          <w:rFonts w:hint="eastAsia" w:ascii="楷体_GB2312" w:eastAsia="楷体_GB2312"/>
          <w:sz w:val="28"/>
          <w:szCs w:val="28"/>
        </w:rPr>
      </w:pPr>
      <w:r>
        <w:rPr>
          <w:rFonts w:hint="eastAsia" w:ascii="楷体_GB2312" w:eastAsia="楷体_GB2312"/>
          <w:sz w:val="28"/>
          <w:szCs w:val="28"/>
        </w:rPr>
        <w:t>4.各教学单位的评选结果须在本单位内公示三个工作日，公示无异议后报送教务处审查，经审查通过后提交校长办公会讨论。</w:t>
      </w:r>
    </w:p>
    <w:p>
      <w:pPr>
        <w:spacing w:line="560" w:lineRule="exact"/>
        <w:ind w:firstLine="560" w:firstLineChars="200"/>
        <w:rPr>
          <w:rFonts w:hint="eastAsia" w:ascii="楷体_GB2312" w:eastAsia="楷体_GB2312"/>
          <w:sz w:val="28"/>
          <w:szCs w:val="28"/>
        </w:rPr>
      </w:pPr>
      <w:r>
        <w:rPr>
          <w:rFonts w:hint="eastAsia" w:ascii="楷体_GB2312" w:eastAsia="楷体_GB2312"/>
          <w:sz w:val="28"/>
          <w:szCs w:val="28"/>
        </w:rPr>
        <w:t>5.请各单位于10月20前将评选结果、申报明细表（见附件）、相关文字说明材料以及非教学人员教学质量绩效奖酬分配方案报教务处212办公室。</w:t>
      </w:r>
    </w:p>
    <w:p>
      <w:pPr>
        <w:spacing w:line="560" w:lineRule="exact"/>
        <w:ind w:firstLine="560" w:firstLineChars="200"/>
        <w:rPr>
          <w:rFonts w:hint="eastAsia" w:ascii="楷体_GB2312" w:eastAsia="楷体_GB2312"/>
          <w:sz w:val="28"/>
          <w:szCs w:val="28"/>
        </w:rPr>
      </w:pPr>
    </w:p>
    <w:p>
      <w:pPr>
        <w:spacing w:line="560" w:lineRule="exact"/>
        <w:ind w:firstLine="560" w:firstLineChars="200"/>
        <w:rPr>
          <w:rFonts w:hint="eastAsia" w:ascii="楷体_GB2312" w:eastAsia="楷体_GB2312"/>
          <w:sz w:val="28"/>
          <w:szCs w:val="28"/>
        </w:rPr>
      </w:pPr>
      <w:r>
        <w:rPr>
          <w:rFonts w:hint="eastAsia" w:ascii="楷体_GB2312" w:eastAsia="楷体_GB2312"/>
          <w:sz w:val="28"/>
          <w:szCs w:val="28"/>
        </w:rPr>
        <w:t>附件：2022</w:t>
      </w:r>
      <w:r>
        <w:rPr>
          <w:rFonts w:hint="eastAsia" w:ascii="楷体_GB2312" w:eastAsia="楷体_GB2312"/>
          <w:sz w:val="28"/>
          <w:szCs w:val="28"/>
          <w:lang w:val="en-US" w:eastAsia="zh-CN"/>
        </w:rPr>
        <w:t>-</w:t>
      </w:r>
      <w:r>
        <w:rPr>
          <w:rFonts w:hint="eastAsia" w:ascii="楷体_GB2312" w:eastAsia="楷体_GB2312"/>
          <w:sz w:val="28"/>
          <w:szCs w:val="28"/>
        </w:rPr>
        <w:t>2023学年度专职教师教学质量绩效奖申报明细表</w:t>
      </w:r>
    </w:p>
    <w:p>
      <w:pPr>
        <w:spacing w:line="560" w:lineRule="exact"/>
        <w:ind w:firstLine="560" w:firstLineChars="200"/>
        <w:rPr>
          <w:rFonts w:hint="eastAsia" w:ascii="楷体_GB2312" w:eastAsia="楷体_GB2312"/>
          <w:sz w:val="28"/>
          <w:szCs w:val="28"/>
        </w:rPr>
      </w:pPr>
    </w:p>
    <w:p>
      <w:pPr>
        <w:spacing w:line="560" w:lineRule="exact"/>
        <w:ind w:firstLine="560" w:firstLineChars="200"/>
        <w:rPr>
          <w:rFonts w:hint="eastAsia" w:ascii="楷体_GB2312" w:eastAsia="楷体_GB2312"/>
          <w:sz w:val="28"/>
          <w:szCs w:val="28"/>
        </w:rPr>
      </w:pPr>
    </w:p>
    <w:p>
      <w:pPr>
        <w:spacing w:line="560" w:lineRule="exact"/>
        <w:ind w:firstLine="560" w:firstLineChars="200"/>
        <w:jc w:val="right"/>
        <w:rPr>
          <w:rFonts w:hint="eastAsia" w:ascii="楷体_GB2312" w:eastAsia="楷体_GB2312"/>
          <w:sz w:val="28"/>
          <w:szCs w:val="28"/>
        </w:rPr>
      </w:pPr>
      <w:r>
        <w:rPr>
          <w:rFonts w:hint="eastAsia" w:ascii="楷体_GB2312" w:eastAsia="楷体_GB2312"/>
          <w:sz w:val="28"/>
          <w:szCs w:val="28"/>
        </w:rPr>
        <w:t xml:space="preserve">                              教务处</w:t>
      </w:r>
    </w:p>
    <w:p>
      <w:pPr>
        <w:spacing w:line="560" w:lineRule="exact"/>
        <w:ind w:firstLine="560" w:firstLineChars="200"/>
        <w:jc w:val="right"/>
        <w:rPr>
          <w:rFonts w:hint="eastAsia" w:ascii="楷体_GB2312" w:eastAsia="楷体_GB2312"/>
          <w:sz w:val="28"/>
          <w:szCs w:val="28"/>
          <w:lang w:val="en-US" w:eastAsia="zh-CN"/>
        </w:rPr>
      </w:pPr>
      <w:r>
        <w:rPr>
          <w:rFonts w:hint="eastAsia" w:ascii="楷体_GB2312" w:eastAsia="楷体_GB2312"/>
          <w:sz w:val="28"/>
          <w:szCs w:val="28"/>
        </w:rPr>
        <w:t>2023年9月28</w:t>
      </w:r>
      <w:r>
        <w:rPr>
          <w:rFonts w:hint="eastAsia" w:ascii="楷体_GB2312" w:eastAsia="楷体_GB2312"/>
          <w:sz w:val="28"/>
          <w:szCs w:val="28"/>
          <w:lang w:val="en-US" w:eastAsia="zh-CN"/>
        </w:rPr>
        <w:t>日</w:t>
      </w:r>
    </w:p>
    <w:p>
      <w:pPr>
        <w:pStyle w:val="2"/>
        <w:rPr>
          <w:rFonts w:hint="eastAsia" w:ascii="楷体_GB2312" w:eastAsia="楷体_GB2312"/>
          <w:sz w:val="28"/>
          <w:szCs w:val="28"/>
          <w:lang w:val="en-US" w:eastAsia="zh-CN"/>
        </w:rPr>
      </w:pPr>
    </w:p>
    <w:p>
      <w:pPr>
        <w:pStyle w:val="2"/>
        <w:rPr>
          <w:rFonts w:hint="eastAsia" w:ascii="楷体_GB2312" w:eastAsia="楷体_GB2312"/>
          <w:sz w:val="28"/>
          <w:szCs w:val="28"/>
          <w:lang w:val="en-US" w:eastAsia="zh-CN"/>
        </w:rPr>
      </w:pPr>
    </w:p>
    <w:p>
      <w:pPr>
        <w:pStyle w:val="2"/>
        <w:rPr>
          <w:rFonts w:hint="eastAsia" w:ascii="楷体_GB2312" w:eastAsia="楷体_GB2312"/>
          <w:sz w:val="28"/>
          <w:szCs w:val="28"/>
          <w:lang w:val="en-US" w:eastAsia="zh-CN"/>
        </w:rPr>
      </w:pPr>
    </w:p>
    <w:p>
      <w:pPr>
        <w:pStyle w:val="2"/>
        <w:rPr>
          <w:rFonts w:hint="eastAsia" w:ascii="楷体_GB2312" w:eastAsia="楷体_GB2312"/>
          <w:sz w:val="28"/>
          <w:szCs w:val="28"/>
          <w:lang w:val="en-US" w:eastAsia="zh-CN"/>
        </w:rPr>
      </w:pPr>
    </w:p>
    <w:p>
      <w:pPr>
        <w:pStyle w:val="2"/>
        <w:rPr>
          <w:rFonts w:hint="eastAsia" w:ascii="楷体_GB2312" w:eastAsia="楷体_GB2312"/>
          <w:sz w:val="28"/>
          <w:szCs w:val="28"/>
          <w:lang w:val="en-US" w:eastAsia="zh-CN"/>
        </w:rPr>
      </w:pPr>
    </w:p>
    <w:p>
      <w:pPr>
        <w:pStyle w:val="2"/>
        <w:rPr>
          <w:rFonts w:hint="eastAsia" w:ascii="楷体_GB2312" w:eastAsia="楷体_GB2312"/>
          <w:sz w:val="28"/>
          <w:szCs w:val="28"/>
          <w:lang w:val="en-US" w:eastAsia="zh-CN"/>
        </w:rPr>
      </w:pPr>
    </w:p>
    <w:p>
      <w:pPr>
        <w:pStyle w:val="2"/>
        <w:rPr>
          <w:rFonts w:hint="eastAsia" w:ascii="楷体_GB2312" w:eastAsia="楷体_GB2312"/>
          <w:sz w:val="28"/>
          <w:szCs w:val="28"/>
          <w:lang w:val="en-US" w:eastAsia="zh-CN"/>
        </w:rPr>
      </w:pPr>
    </w:p>
    <w:p>
      <w:pPr>
        <w:pStyle w:val="2"/>
        <w:rPr>
          <w:rFonts w:hint="eastAsia" w:ascii="楷体_GB2312" w:eastAsia="楷体_GB2312"/>
          <w:sz w:val="28"/>
          <w:szCs w:val="28"/>
          <w:lang w:val="en-US" w:eastAsia="zh-CN"/>
        </w:rPr>
      </w:pPr>
    </w:p>
    <w:p>
      <w:pPr>
        <w:pStyle w:val="2"/>
        <w:rPr>
          <w:rFonts w:hint="eastAsia" w:ascii="楷体_GB2312" w:eastAsia="楷体_GB2312"/>
          <w:sz w:val="28"/>
          <w:szCs w:val="28"/>
          <w:lang w:val="en-US" w:eastAsia="zh-CN"/>
        </w:rPr>
      </w:pPr>
    </w:p>
    <w:p>
      <w:pPr>
        <w:pStyle w:val="2"/>
        <w:rPr>
          <w:rFonts w:hint="eastAsia" w:ascii="楷体_GB2312" w:eastAsia="楷体_GB2312"/>
          <w:sz w:val="28"/>
          <w:szCs w:val="28"/>
          <w:lang w:val="en-US" w:eastAsia="zh-CN"/>
        </w:rPr>
        <w:sectPr>
          <w:headerReference r:id="rId3" w:type="default"/>
          <w:footerReference r:id="rId4" w:type="default"/>
          <w:footerReference r:id="rId5" w:type="even"/>
          <w:pgSz w:w="11906" w:h="16838"/>
          <w:pgMar w:top="879" w:right="1700" w:bottom="879" w:left="1701" w:header="851" w:footer="992" w:gutter="0"/>
          <w:cols w:space="425" w:num="1"/>
          <w:docGrid w:type="lines" w:linePitch="312" w:charSpace="0"/>
        </w:sectPr>
      </w:pPr>
    </w:p>
    <w:tbl>
      <w:tblPr>
        <w:tblStyle w:val="6"/>
        <w:tblW w:w="15446" w:type="dxa"/>
        <w:tblInd w:w="93" w:type="dxa"/>
        <w:tblLayout w:type="fixed"/>
        <w:tblCellMar>
          <w:top w:w="0" w:type="dxa"/>
          <w:left w:w="108" w:type="dxa"/>
          <w:bottom w:w="0" w:type="dxa"/>
          <w:right w:w="108" w:type="dxa"/>
        </w:tblCellMar>
      </w:tblPr>
      <w:tblGrid>
        <w:gridCol w:w="540"/>
        <w:gridCol w:w="714"/>
        <w:gridCol w:w="961"/>
        <w:gridCol w:w="1011"/>
        <w:gridCol w:w="1011"/>
        <w:gridCol w:w="944"/>
        <w:gridCol w:w="1079"/>
        <w:gridCol w:w="927"/>
        <w:gridCol w:w="152"/>
        <w:gridCol w:w="1079"/>
        <w:gridCol w:w="1109"/>
        <w:gridCol w:w="899"/>
        <w:gridCol w:w="734"/>
        <w:gridCol w:w="689"/>
        <w:gridCol w:w="293"/>
        <w:gridCol w:w="625"/>
        <w:gridCol w:w="723"/>
        <w:gridCol w:w="591"/>
        <w:gridCol w:w="472"/>
        <w:gridCol w:w="893"/>
      </w:tblGrid>
      <w:tr>
        <w:tblPrEx>
          <w:tblCellMar>
            <w:top w:w="0" w:type="dxa"/>
            <w:left w:w="108" w:type="dxa"/>
            <w:bottom w:w="0" w:type="dxa"/>
            <w:right w:w="108" w:type="dxa"/>
          </w:tblCellMar>
        </w:tblPrEx>
        <w:trPr>
          <w:trHeight w:val="405" w:hRule="atLeast"/>
        </w:trPr>
        <w:tc>
          <w:tcPr>
            <w:tcW w:w="15446" w:type="dxa"/>
            <w:gridSpan w:val="20"/>
            <w:tcBorders>
              <w:top w:val="nil"/>
              <w:left w:val="nil"/>
              <w:bottom w:val="nil"/>
              <w:right w:val="nil"/>
            </w:tcBorders>
            <w:shd w:val="clear" w:color="auto" w:fill="auto"/>
            <w:vAlign w:val="center"/>
          </w:tcPr>
          <w:p>
            <w:pPr>
              <w:widowControl/>
              <w:jc w:val="center"/>
              <w:textAlignment w:val="center"/>
              <w:rPr>
                <w:rFonts w:eastAsia="黑体"/>
                <w:color w:val="000000"/>
                <w:sz w:val="32"/>
                <w:szCs w:val="32"/>
              </w:rPr>
            </w:pPr>
            <w:r>
              <w:rPr>
                <w:rFonts w:eastAsia="黑体"/>
                <w:color w:val="000000"/>
                <w:kern w:val="0"/>
                <w:sz w:val="32"/>
                <w:szCs w:val="32"/>
                <w:lang w:bidi="ar"/>
              </w:rPr>
              <w:t>2022~2023学年度专职教师教学质量绩效奖申报明细表</w:t>
            </w:r>
          </w:p>
        </w:tc>
      </w:tr>
      <w:tr>
        <w:tblPrEx>
          <w:tblCellMar>
            <w:top w:w="0" w:type="dxa"/>
            <w:left w:w="108" w:type="dxa"/>
            <w:bottom w:w="0" w:type="dxa"/>
            <w:right w:w="108" w:type="dxa"/>
          </w:tblCellMar>
        </w:tblPrEx>
        <w:trPr>
          <w:trHeight w:val="480" w:hRule="atLeast"/>
        </w:trPr>
        <w:tc>
          <w:tcPr>
            <w:tcW w:w="7187" w:type="dxa"/>
            <w:gridSpan w:val="8"/>
            <w:tcBorders>
              <w:top w:val="nil"/>
              <w:left w:val="nil"/>
              <w:bottom w:val="nil"/>
              <w:right w:val="nil"/>
            </w:tcBorders>
            <w:shd w:val="clear" w:color="auto" w:fill="auto"/>
            <w:vAlign w:val="center"/>
          </w:tcPr>
          <w:p>
            <w:pPr>
              <w:widowControl/>
              <w:jc w:val="left"/>
              <w:textAlignment w:val="center"/>
              <w:rPr>
                <w:color w:val="000000"/>
                <w:sz w:val="24"/>
              </w:rPr>
            </w:pPr>
            <w:r>
              <w:rPr>
                <w:color w:val="000000"/>
                <w:kern w:val="0"/>
                <w:sz w:val="24"/>
                <w:lang w:bidi="ar"/>
              </w:rPr>
              <w:t>填表单位：</w:t>
            </w:r>
          </w:p>
        </w:tc>
        <w:tc>
          <w:tcPr>
            <w:tcW w:w="4955" w:type="dxa"/>
            <w:gridSpan w:val="7"/>
            <w:tcBorders>
              <w:top w:val="nil"/>
              <w:left w:val="nil"/>
              <w:bottom w:val="nil"/>
              <w:right w:val="nil"/>
            </w:tcBorders>
            <w:shd w:val="clear" w:color="auto" w:fill="auto"/>
            <w:vAlign w:val="center"/>
          </w:tcPr>
          <w:p>
            <w:pPr>
              <w:widowControl/>
              <w:jc w:val="left"/>
              <w:textAlignment w:val="center"/>
              <w:rPr>
                <w:color w:val="000000"/>
                <w:sz w:val="24"/>
              </w:rPr>
            </w:pPr>
            <w:r>
              <w:rPr>
                <w:color w:val="000000"/>
                <w:kern w:val="0"/>
                <w:sz w:val="24"/>
                <w:lang w:bidi="ar"/>
              </w:rPr>
              <w:t>填表人：</w:t>
            </w:r>
          </w:p>
        </w:tc>
        <w:tc>
          <w:tcPr>
            <w:tcW w:w="3304" w:type="dxa"/>
            <w:gridSpan w:val="5"/>
            <w:tcBorders>
              <w:top w:val="nil"/>
              <w:left w:val="nil"/>
              <w:bottom w:val="nil"/>
              <w:right w:val="nil"/>
            </w:tcBorders>
            <w:shd w:val="clear" w:color="auto" w:fill="auto"/>
            <w:vAlign w:val="center"/>
          </w:tcPr>
          <w:p>
            <w:pPr>
              <w:widowControl/>
              <w:ind w:firstLine="480" w:firstLineChars="200"/>
              <w:jc w:val="left"/>
              <w:textAlignment w:val="center"/>
              <w:rPr>
                <w:color w:val="000000"/>
                <w:sz w:val="24"/>
              </w:rPr>
            </w:pPr>
            <w:r>
              <w:rPr>
                <w:color w:val="000000"/>
                <w:kern w:val="0"/>
                <w:sz w:val="24"/>
                <w:lang w:bidi="ar"/>
              </w:rPr>
              <w:t>年  月  日</w:t>
            </w:r>
          </w:p>
        </w:tc>
      </w:tr>
      <w:tr>
        <w:tblPrEx>
          <w:tblCellMar>
            <w:top w:w="0" w:type="dxa"/>
            <w:left w:w="108" w:type="dxa"/>
            <w:bottom w:w="0" w:type="dxa"/>
            <w:right w:w="108" w:type="dxa"/>
          </w:tblCellMar>
        </w:tblPrEx>
        <w:trPr>
          <w:trHeight w:val="285" w:hRule="atLeast"/>
        </w:trPr>
        <w:tc>
          <w:tcPr>
            <w:tcW w:w="22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考核标准</w:t>
            </w:r>
          </w:p>
        </w:tc>
        <w:tc>
          <w:tcPr>
            <w:tcW w:w="29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必备条件一</w:t>
            </w:r>
          </w:p>
        </w:tc>
        <w:tc>
          <w:tcPr>
            <w:tcW w:w="32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必备条件二</w:t>
            </w: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选择条件一</w:t>
            </w: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选择条件二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选择条件三</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申报  等级</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认定  等级</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备注</w:t>
            </w:r>
          </w:p>
        </w:tc>
      </w:tr>
      <w:tr>
        <w:tblPrEx>
          <w:tblCellMar>
            <w:top w:w="0" w:type="dxa"/>
            <w:left w:w="108" w:type="dxa"/>
            <w:bottom w:w="0" w:type="dxa"/>
            <w:right w:w="108" w:type="dxa"/>
          </w:tblCellMar>
        </w:tblPrEx>
        <w:trPr>
          <w:trHeight w:val="285" w:hRule="atLeast"/>
        </w:trPr>
        <w:tc>
          <w:tcPr>
            <w:tcW w:w="22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29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32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教学效果</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实践  教学取得一定成绩</w:t>
            </w:r>
          </w:p>
        </w:tc>
        <w:tc>
          <w:tcPr>
            <w:tcW w:w="9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实践教学成绩突出</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学科与专业建设贡献突出</w:t>
            </w: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r>
      <w:tr>
        <w:tblPrEx>
          <w:tblCellMar>
            <w:top w:w="0" w:type="dxa"/>
            <w:left w:w="108" w:type="dxa"/>
            <w:bottom w:w="0" w:type="dxa"/>
            <w:right w:w="108" w:type="dxa"/>
          </w:tblCellMar>
        </w:tblPrEx>
        <w:trPr>
          <w:trHeight w:val="8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序号</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人事编码</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Style w:val="15"/>
                <w:rFonts w:hint="default" w:ascii="Times New Roman" w:hAnsi="Times New Roman" w:eastAsia="仿宋" w:cs="Times New Roman"/>
                <w:b w:val="0"/>
                <w:bCs w:val="0"/>
                <w:sz w:val="21"/>
                <w:szCs w:val="21"/>
                <w:lang w:bidi="ar"/>
              </w:rPr>
              <w:t xml:space="preserve">教师   </w:t>
            </w:r>
            <w:r>
              <w:rPr>
                <w:rStyle w:val="16"/>
                <w:rFonts w:hint="default" w:ascii="Times New Roman" w:hAnsi="Times New Roman" w:eastAsia="仿宋" w:cs="Times New Roman"/>
                <w:b w:val="0"/>
                <w:bCs w:val="0"/>
                <w:sz w:val="21"/>
                <w:szCs w:val="21"/>
                <w:lang w:bidi="ar"/>
              </w:rPr>
              <w:t>姓名</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教学运行文档规范情况</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学年度是否发生教学事故</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学年度考核情况</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学年度额定工作量</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学年度实际完成工作量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实际完成占额定工作量比例</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学生分按课程最低分</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综合评分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院系 排名</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9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r>
      <w:tr>
        <w:tblPrEx>
          <w:tblCellMar>
            <w:top w:w="0" w:type="dxa"/>
            <w:left w:w="108" w:type="dxa"/>
            <w:bottom w:w="0" w:type="dxa"/>
            <w:right w:w="108"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1</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r>
      <w:tr>
        <w:tblPrEx>
          <w:tblCellMar>
            <w:top w:w="0" w:type="dxa"/>
            <w:left w:w="108" w:type="dxa"/>
            <w:bottom w:w="0" w:type="dxa"/>
            <w:right w:w="108"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2</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r>
      <w:tr>
        <w:tblPrEx>
          <w:tblCellMar>
            <w:top w:w="0" w:type="dxa"/>
            <w:left w:w="108" w:type="dxa"/>
            <w:bottom w:w="0" w:type="dxa"/>
            <w:right w:w="108" w:type="dxa"/>
          </w:tblCellMar>
        </w:tblPrEx>
        <w:trPr>
          <w:trHeight w:val="3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r>
              <w:rPr>
                <w:rFonts w:eastAsia="仿宋"/>
                <w:color w:val="000000"/>
                <w:kern w:val="0"/>
                <w:szCs w:val="21"/>
                <w:lang w:bidi="ar"/>
              </w:rPr>
              <w:t>3</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olor w:val="000000"/>
                <w:szCs w:val="21"/>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Cs w:val="21"/>
              </w:rPr>
            </w:pP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仿宋"/>
                <w:color w:val="000000"/>
                <w:szCs w:val="21"/>
              </w:rPr>
            </w:pPr>
          </w:p>
        </w:tc>
      </w:tr>
      <w:tr>
        <w:tblPrEx>
          <w:tblCellMar>
            <w:top w:w="0" w:type="dxa"/>
            <w:left w:w="108" w:type="dxa"/>
            <w:bottom w:w="0" w:type="dxa"/>
            <w:right w:w="108" w:type="dxa"/>
          </w:tblCellMar>
        </w:tblPrEx>
        <w:trPr>
          <w:trHeight w:val="270" w:hRule="atLeast"/>
        </w:trPr>
        <w:tc>
          <w:tcPr>
            <w:tcW w:w="540" w:type="dxa"/>
            <w:tcBorders>
              <w:top w:val="single" w:color="000000" w:sz="4" w:space="0"/>
              <w:left w:val="nil"/>
              <w:bottom w:val="nil"/>
              <w:right w:val="nil"/>
            </w:tcBorders>
            <w:shd w:val="clear" w:color="auto" w:fill="auto"/>
            <w:vAlign w:val="center"/>
          </w:tcPr>
          <w:p>
            <w:pPr>
              <w:jc w:val="center"/>
              <w:rPr>
                <w:color w:val="000000"/>
                <w:sz w:val="20"/>
                <w:szCs w:val="20"/>
              </w:rPr>
            </w:pPr>
          </w:p>
        </w:tc>
        <w:tc>
          <w:tcPr>
            <w:tcW w:w="714" w:type="dxa"/>
            <w:tcBorders>
              <w:top w:val="single" w:color="000000" w:sz="4" w:space="0"/>
              <w:left w:val="nil"/>
              <w:bottom w:val="nil"/>
              <w:right w:val="nil"/>
            </w:tcBorders>
            <w:shd w:val="clear" w:color="auto" w:fill="auto"/>
            <w:noWrap/>
            <w:vAlign w:val="center"/>
          </w:tcPr>
          <w:p>
            <w:pPr>
              <w:jc w:val="center"/>
              <w:rPr>
                <w:color w:val="000000"/>
                <w:sz w:val="20"/>
                <w:szCs w:val="20"/>
              </w:rPr>
            </w:pPr>
          </w:p>
        </w:tc>
        <w:tc>
          <w:tcPr>
            <w:tcW w:w="961" w:type="dxa"/>
            <w:tcBorders>
              <w:top w:val="single" w:color="000000" w:sz="4" w:space="0"/>
              <w:left w:val="nil"/>
              <w:bottom w:val="nil"/>
              <w:right w:val="nil"/>
            </w:tcBorders>
            <w:shd w:val="clear" w:color="auto" w:fill="auto"/>
            <w:noWrap/>
            <w:vAlign w:val="center"/>
          </w:tcPr>
          <w:p>
            <w:pPr>
              <w:jc w:val="center"/>
              <w:rPr>
                <w:color w:val="000000"/>
                <w:sz w:val="20"/>
                <w:szCs w:val="20"/>
              </w:rPr>
            </w:pPr>
          </w:p>
        </w:tc>
        <w:tc>
          <w:tcPr>
            <w:tcW w:w="1011" w:type="dxa"/>
            <w:tcBorders>
              <w:top w:val="single" w:color="000000" w:sz="4" w:space="0"/>
              <w:left w:val="nil"/>
              <w:bottom w:val="nil"/>
              <w:right w:val="nil"/>
            </w:tcBorders>
            <w:shd w:val="clear" w:color="auto" w:fill="auto"/>
            <w:noWrap/>
            <w:vAlign w:val="center"/>
          </w:tcPr>
          <w:p>
            <w:pPr>
              <w:jc w:val="center"/>
              <w:rPr>
                <w:color w:val="000000"/>
                <w:sz w:val="20"/>
                <w:szCs w:val="20"/>
              </w:rPr>
            </w:pPr>
          </w:p>
        </w:tc>
        <w:tc>
          <w:tcPr>
            <w:tcW w:w="1011" w:type="dxa"/>
            <w:tcBorders>
              <w:top w:val="single" w:color="000000" w:sz="4" w:space="0"/>
              <w:left w:val="nil"/>
              <w:bottom w:val="nil"/>
              <w:right w:val="nil"/>
            </w:tcBorders>
            <w:shd w:val="clear" w:color="auto" w:fill="auto"/>
            <w:noWrap/>
            <w:vAlign w:val="center"/>
          </w:tcPr>
          <w:p>
            <w:pPr>
              <w:jc w:val="center"/>
              <w:rPr>
                <w:color w:val="000000"/>
                <w:sz w:val="20"/>
                <w:szCs w:val="20"/>
              </w:rPr>
            </w:pPr>
          </w:p>
        </w:tc>
        <w:tc>
          <w:tcPr>
            <w:tcW w:w="944" w:type="dxa"/>
            <w:tcBorders>
              <w:top w:val="single" w:color="000000" w:sz="4" w:space="0"/>
              <w:left w:val="nil"/>
              <w:bottom w:val="nil"/>
              <w:right w:val="nil"/>
            </w:tcBorders>
            <w:shd w:val="clear" w:color="auto" w:fill="auto"/>
            <w:noWrap/>
            <w:vAlign w:val="center"/>
          </w:tcPr>
          <w:p>
            <w:pPr>
              <w:jc w:val="center"/>
              <w:rPr>
                <w:color w:val="000000"/>
                <w:sz w:val="20"/>
                <w:szCs w:val="20"/>
              </w:rPr>
            </w:pPr>
          </w:p>
        </w:tc>
        <w:tc>
          <w:tcPr>
            <w:tcW w:w="1079" w:type="dxa"/>
            <w:tcBorders>
              <w:top w:val="single" w:color="000000" w:sz="4" w:space="0"/>
              <w:left w:val="nil"/>
              <w:bottom w:val="nil"/>
              <w:right w:val="nil"/>
            </w:tcBorders>
            <w:shd w:val="clear" w:color="auto" w:fill="auto"/>
            <w:noWrap/>
            <w:vAlign w:val="center"/>
          </w:tcPr>
          <w:p>
            <w:pPr>
              <w:jc w:val="center"/>
              <w:rPr>
                <w:color w:val="000000"/>
                <w:sz w:val="20"/>
                <w:szCs w:val="20"/>
              </w:rPr>
            </w:pPr>
          </w:p>
        </w:tc>
        <w:tc>
          <w:tcPr>
            <w:tcW w:w="1079" w:type="dxa"/>
            <w:gridSpan w:val="2"/>
            <w:tcBorders>
              <w:top w:val="single" w:color="000000" w:sz="4" w:space="0"/>
              <w:left w:val="nil"/>
              <w:bottom w:val="nil"/>
              <w:right w:val="nil"/>
            </w:tcBorders>
            <w:shd w:val="clear" w:color="auto" w:fill="auto"/>
            <w:noWrap/>
            <w:vAlign w:val="center"/>
          </w:tcPr>
          <w:p>
            <w:pPr>
              <w:jc w:val="center"/>
              <w:rPr>
                <w:color w:val="000000"/>
                <w:sz w:val="20"/>
                <w:szCs w:val="20"/>
              </w:rPr>
            </w:pPr>
          </w:p>
        </w:tc>
        <w:tc>
          <w:tcPr>
            <w:tcW w:w="1079" w:type="dxa"/>
            <w:tcBorders>
              <w:top w:val="single" w:color="000000" w:sz="4" w:space="0"/>
              <w:left w:val="nil"/>
              <w:bottom w:val="nil"/>
              <w:right w:val="nil"/>
            </w:tcBorders>
            <w:shd w:val="clear" w:color="auto" w:fill="auto"/>
            <w:noWrap/>
            <w:vAlign w:val="center"/>
          </w:tcPr>
          <w:p>
            <w:pPr>
              <w:jc w:val="center"/>
              <w:rPr>
                <w:color w:val="000000"/>
                <w:sz w:val="20"/>
                <w:szCs w:val="20"/>
              </w:rPr>
            </w:pPr>
          </w:p>
        </w:tc>
        <w:tc>
          <w:tcPr>
            <w:tcW w:w="1109" w:type="dxa"/>
            <w:tcBorders>
              <w:top w:val="single" w:color="000000" w:sz="4" w:space="0"/>
              <w:left w:val="nil"/>
              <w:bottom w:val="nil"/>
              <w:right w:val="nil"/>
            </w:tcBorders>
            <w:shd w:val="clear" w:color="auto" w:fill="auto"/>
            <w:noWrap/>
            <w:vAlign w:val="center"/>
          </w:tcPr>
          <w:p>
            <w:pPr>
              <w:jc w:val="center"/>
              <w:rPr>
                <w:color w:val="000000"/>
                <w:sz w:val="20"/>
                <w:szCs w:val="20"/>
              </w:rPr>
            </w:pPr>
          </w:p>
        </w:tc>
        <w:tc>
          <w:tcPr>
            <w:tcW w:w="899" w:type="dxa"/>
            <w:tcBorders>
              <w:top w:val="single" w:color="000000" w:sz="4" w:space="0"/>
              <w:left w:val="nil"/>
              <w:bottom w:val="nil"/>
              <w:right w:val="nil"/>
            </w:tcBorders>
            <w:shd w:val="clear" w:color="auto" w:fill="auto"/>
            <w:noWrap/>
            <w:vAlign w:val="center"/>
          </w:tcPr>
          <w:p>
            <w:pPr>
              <w:jc w:val="center"/>
              <w:rPr>
                <w:color w:val="000000"/>
                <w:sz w:val="20"/>
                <w:szCs w:val="20"/>
              </w:rPr>
            </w:pPr>
          </w:p>
        </w:tc>
        <w:tc>
          <w:tcPr>
            <w:tcW w:w="734" w:type="dxa"/>
            <w:tcBorders>
              <w:top w:val="single" w:color="000000" w:sz="4" w:space="0"/>
              <w:left w:val="nil"/>
              <w:bottom w:val="nil"/>
              <w:right w:val="nil"/>
            </w:tcBorders>
            <w:shd w:val="clear" w:color="auto" w:fill="auto"/>
            <w:noWrap/>
            <w:vAlign w:val="center"/>
          </w:tcPr>
          <w:p>
            <w:pPr>
              <w:jc w:val="center"/>
              <w:rPr>
                <w:color w:val="000000"/>
                <w:sz w:val="20"/>
                <w:szCs w:val="20"/>
              </w:rPr>
            </w:pPr>
          </w:p>
        </w:tc>
        <w:tc>
          <w:tcPr>
            <w:tcW w:w="689" w:type="dxa"/>
            <w:tcBorders>
              <w:top w:val="single" w:color="000000" w:sz="4" w:space="0"/>
              <w:left w:val="nil"/>
              <w:bottom w:val="nil"/>
              <w:right w:val="nil"/>
            </w:tcBorders>
            <w:shd w:val="clear" w:color="auto" w:fill="auto"/>
            <w:vAlign w:val="center"/>
          </w:tcPr>
          <w:p>
            <w:pPr>
              <w:jc w:val="center"/>
              <w:rPr>
                <w:color w:val="000000"/>
                <w:sz w:val="20"/>
                <w:szCs w:val="20"/>
              </w:rPr>
            </w:pPr>
          </w:p>
        </w:tc>
        <w:tc>
          <w:tcPr>
            <w:tcW w:w="918" w:type="dxa"/>
            <w:gridSpan w:val="2"/>
            <w:tcBorders>
              <w:top w:val="single" w:color="000000" w:sz="4" w:space="0"/>
              <w:left w:val="nil"/>
              <w:bottom w:val="nil"/>
              <w:right w:val="nil"/>
            </w:tcBorders>
            <w:shd w:val="clear" w:color="auto" w:fill="auto"/>
            <w:vAlign w:val="center"/>
          </w:tcPr>
          <w:p>
            <w:pPr>
              <w:jc w:val="center"/>
              <w:rPr>
                <w:color w:val="000000"/>
                <w:sz w:val="20"/>
                <w:szCs w:val="20"/>
              </w:rPr>
            </w:pPr>
          </w:p>
        </w:tc>
        <w:tc>
          <w:tcPr>
            <w:tcW w:w="723" w:type="dxa"/>
            <w:tcBorders>
              <w:top w:val="single" w:color="000000" w:sz="4" w:space="0"/>
              <w:left w:val="nil"/>
              <w:bottom w:val="nil"/>
              <w:right w:val="nil"/>
            </w:tcBorders>
            <w:shd w:val="clear" w:color="auto" w:fill="auto"/>
            <w:vAlign w:val="center"/>
          </w:tcPr>
          <w:p>
            <w:pPr>
              <w:jc w:val="center"/>
              <w:rPr>
                <w:color w:val="000000"/>
                <w:sz w:val="20"/>
                <w:szCs w:val="20"/>
              </w:rPr>
            </w:pPr>
          </w:p>
        </w:tc>
        <w:tc>
          <w:tcPr>
            <w:tcW w:w="591" w:type="dxa"/>
            <w:tcBorders>
              <w:top w:val="single" w:color="000000" w:sz="4" w:space="0"/>
              <w:left w:val="nil"/>
              <w:bottom w:val="nil"/>
              <w:right w:val="nil"/>
            </w:tcBorders>
            <w:shd w:val="clear" w:color="auto" w:fill="auto"/>
            <w:vAlign w:val="center"/>
          </w:tcPr>
          <w:p>
            <w:pPr>
              <w:jc w:val="center"/>
              <w:rPr>
                <w:color w:val="000000"/>
                <w:sz w:val="20"/>
                <w:szCs w:val="20"/>
              </w:rPr>
            </w:pPr>
          </w:p>
        </w:tc>
        <w:tc>
          <w:tcPr>
            <w:tcW w:w="472" w:type="dxa"/>
            <w:tcBorders>
              <w:top w:val="single" w:color="000000" w:sz="4" w:space="0"/>
              <w:left w:val="nil"/>
              <w:bottom w:val="nil"/>
              <w:right w:val="nil"/>
            </w:tcBorders>
            <w:shd w:val="clear" w:color="auto" w:fill="auto"/>
            <w:vAlign w:val="center"/>
          </w:tcPr>
          <w:p>
            <w:pPr>
              <w:jc w:val="center"/>
              <w:rPr>
                <w:color w:val="000000"/>
                <w:sz w:val="20"/>
                <w:szCs w:val="20"/>
              </w:rPr>
            </w:pPr>
          </w:p>
        </w:tc>
        <w:tc>
          <w:tcPr>
            <w:tcW w:w="893" w:type="dxa"/>
            <w:tcBorders>
              <w:top w:val="single" w:color="000000" w:sz="4" w:space="0"/>
              <w:left w:val="nil"/>
              <w:bottom w:val="nil"/>
              <w:right w:val="nil"/>
            </w:tcBorders>
            <w:shd w:val="clear" w:color="auto" w:fill="auto"/>
            <w:vAlign w:val="center"/>
          </w:tcPr>
          <w:p>
            <w:pPr>
              <w:jc w:val="center"/>
              <w:rPr>
                <w:color w:val="000000"/>
                <w:sz w:val="20"/>
                <w:szCs w:val="20"/>
              </w:rPr>
            </w:pPr>
          </w:p>
        </w:tc>
      </w:tr>
      <w:tr>
        <w:tblPrEx>
          <w:tblCellMar>
            <w:top w:w="0" w:type="dxa"/>
            <w:left w:w="108" w:type="dxa"/>
            <w:bottom w:w="0" w:type="dxa"/>
            <w:right w:w="108" w:type="dxa"/>
          </w:tblCellMar>
        </w:tblPrEx>
        <w:trPr>
          <w:trHeight w:val="270" w:hRule="atLeast"/>
        </w:trPr>
        <w:tc>
          <w:tcPr>
            <w:tcW w:w="15446" w:type="dxa"/>
            <w:gridSpan w:val="20"/>
            <w:tcBorders>
              <w:top w:val="nil"/>
              <w:left w:val="nil"/>
              <w:bottom w:val="nil"/>
              <w:right w:val="nil"/>
            </w:tcBorders>
            <w:shd w:val="clear" w:color="auto" w:fill="auto"/>
            <w:vAlign w:val="center"/>
          </w:tcPr>
          <w:p>
            <w:pPr>
              <w:widowControl/>
              <w:jc w:val="left"/>
              <w:textAlignment w:val="center"/>
              <w:rPr>
                <w:color w:val="000000"/>
                <w:sz w:val="22"/>
                <w:szCs w:val="22"/>
              </w:rPr>
            </w:pPr>
            <w:r>
              <w:rPr>
                <w:rStyle w:val="17"/>
                <w:rFonts w:hint="default" w:ascii="Times New Roman" w:hAnsi="Times New Roman" w:cs="Times New Roman"/>
                <w:lang w:bidi="ar"/>
              </w:rPr>
              <w:t>备注：</w:t>
            </w:r>
            <w:r>
              <w:rPr>
                <w:rStyle w:val="18"/>
                <w:rFonts w:hint="default" w:ascii="Times New Roman" w:hAnsi="Times New Roman" w:cs="Times New Roman"/>
                <w:lang w:bidi="ar"/>
              </w:rPr>
              <w:t>1.新进教师请在“备注”栏填写进校时间；2.教师休产假请在“备注”栏填写产假起止时间；3.有其他特殊情况请在“备注”栏说明情况；4.学生测评分，请填写教师本学年度所上课程中评分最低的分数。5.请按申报等级依次填写。6.申报明细表中 “必备条件”是必填项目，“选择条件”根据申报等级进行填写，且“选择条件二”、“选择条件三”须在表中</w:t>
            </w:r>
            <w:r>
              <w:rPr>
                <w:rStyle w:val="17"/>
                <w:rFonts w:hint="default" w:ascii="Times New Roman" w:hAnsi="Times New Roman" w:cs="Times New Roman"/>
                <w:lang w:bidi="ar"/>
              </w:rPr>
              <w:t>简要说明选择依据</w:t>
            </w:r>
            <w:r>
              <w:rPr>
                <w:rStyle w:val="18"/>
                <w:rFonts w:hint="default" w:ascii="Times New Roman" w:hAnsi="Times New Roman" w:cs="Times New Roman"/>
                <w:lang w:bidi="ar"/>
              </w:rPr>
              <w:t>。</w:t>
            </w:r>
          </w:p>
        </w:tc>
      </w:tr>
    </w:tbl>
    <w:p>
      <w:pPr>
        <w:pStyle w:val="2"/>
        <w:ind w:left="0" w:leftChars="0" w:firstLine="0" w:firstLineChars="0"/>
        <w:rPr>
          <w:rFonts w:hint="eastAsia" w:ascii="楷体_GB2312" w:eastAsia="楷体_GB2312"/>
          <w:sz w:val="28"/>
          <w:szCs w:val="28"/>
          <w:lang w:val="en-US" w:eastAsia="zh-CN"/>
        </w:rPr>
      </w:pPr>
    </w:p>
    <w:p>
      <w:pPr>
        <w:pStyle w:val="2"/>
        <w:rPr>
          <w:rFonts w:hint="eastAsia" w:ascii="楷体_GB2312" w:eastAsia="楷体_GB2312"/>
          <w:sz w:val="28"/>
          <w:szCs w:val="28"/>
          <w:lang w:val="en-US" w:eastAsia="zh-CN"/>
        </w:rPr>
      </w:pPr>
    </w:p>
    <w:p>
      <w:pPr>
        <w:pStyle w:val="2"/>
        <w:ind w:left="0" w:leftChars="0" w:firstLine="0" w:firstLineChars="0"/>
        <w:rPr>
          <w:rFonts w:hint="default" w:ascii="楷体_GB2312" w:eastAsia="楷体_GB2312"/>
          <w:sz w:val="28"/>
          <w:szCs w:val="28"/>
          <w:lang w:val="en-US" w:eastAsia="zh-CN"/>
        </w:rPr>
      </w:pPr>
      <w:bookmarkStart w:id="1" w:name="_GoBack"/>
      <w:bookmarkEnd w:id="1"/>
    </w:p>
    <w:sectPr>
      <w:pgSz w:w="16838" w:h="11906" w:orient="landscape"/>
      <w:pgMar w:top="1701" w:right="879" w:bottom="1701" w:left="879" w:header="851" w:footer="992" w:gutter="0"/>
      <w:paperSrc/>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WZjOWFlODMxN2Q2NzdkZTUwNzBiNjZmY2VkYjMifQ=="/>
  </w:docVars>
  <w:rsids>
    <w:rsidRoot w:val="00371D96"/>
    <w:rsid w:val="000048DD"/>
    <w:rsid w:val="00004D3D"/>
    <w:rsid w:val="00023B7A"/>
    <w:rsid w:val="00031059"/>
    <w:rsid w:val="000419F2"/>
    <w:rsid w:val="00067F7A"/>
    <w:rsid w:val="000720F8"/>
    <w:rsid w:val="00074742"/>
    <w:rsid w:val="000D2CFA"/>
    <w:rsid w:val="000F02FB"/>
    <w:rsid w:val="00101273"/>
    <w:rsid w:val="00103EA6"/>
    <w:rsid w:val="001357D9"/>
    <w:rsid w:val="001664CC"/>
    <w:rsid w:val="0017623A"/>
    <w:rsid w:val="001924D2"/>
    <w:rsid w:val="00197F65"/>
    <w:rsid w:val="001B43FF"/>
    <w:rsid w:val="001F65E7"/>
    <w:rsid w:val="00202F0E"/>
    <w:rsid w:val="002179B0"/>
    <w:rsid w:val="00217DCD"/>
    <w:rsid w:val="00225924"/>
    <w:rsid w:val="00235848"/>
    <w:rsid w:val="002428F1"/>
    <w:rsid w:val="00244F67"/>
    <w:rsid w:val="002658C7"/>
    <w:rsid w:val="00292896"/>
    <w:rsid w:val="00292FBF"/>
    <w:rsid w:val="002A2E17"/>
    <w:rsid w:val="002E4FA1"/>
    <w:rsid w:val="002E6174"/>
    <w:rsid w:val="002F2F59"/>
    <w:rsid w:val="002F62E6"/>
    <w:rsid w:val="003006F6"/>
    <w:rsid w:val="00343426"/>
    <w:rsid w:val="003464BF"/>
    <w:rsid w:val="00366428"/>
    <w:rsid w:val="00371D96"/>
    <w:rsid w:val="003750E7"/>
    <w:rsid w:val="003E59B2"/>
    <w:rsid w:val="003F1DB0"/>
    <w:rsid w:val="00401545"/>
    <w:rsid w:val="0043559D"/>
    <w:rsid w:val="00441ABA"/>
    <w:rsid w:val="004A0EE3"/>
    <w:rsid w:val="004B2D9F"/>
    <w:rsid w:val="004C3EA3"/>
    <w:rsid w:val="004C469F"/>
    <w:rsid w:val="0051013C"/>
    <w:rsid w:val="005424EA"/>
    <w:rsid w:val="0054532F"/>
    <w:rsid w:val="005532AA"/>
    <w:rsid w:val="00556C25"/>
    <w:rsid w:val="005904F0"/>
    <w:rsid w:val="005B32C1"/>
    <w:rsid w:val="005B4817"/>
    <w:rsid w:val="005E1F02"/>
    <w:rsid w:val="005F1963"/>
    <w:rsid w:val="005F72A0"/>
    <w:rsid w:val="00604C25"/>
    <w:rsid w:val="00610FEF"/>
    <w:rsid w:val="00640B46"/>
    <w:rsid w:val="00672D0D"/>
    <w:rsid w:val="00674F01"/>
    <w:rsid w:val="00680057"/>
    <w:rsid w:val="00692DA2"/>
    <w:rsid w:val="00694287"/>
    <w:rsid w:val="00694924"/>
    <w:rsid w:val="00695119"/>
    <w:rsid w:val="006A5A89"/>
    <w:rsid w:val="006A5C09"/>
    <w:rsid w:val="006B3327"/>
    <w:rsid w:val="006B4152"/>
    <w:rsid w:val="006C3982"/>
    <w:rsid w:val="006D0710"/>
    <w:rsid w:val="006E00A5"/>
    <w:rsid w:val="006E25E9"/>
    <w:rsid w:val="006F7441"/>
    <w:rsid w:val="0071208F"/>
    <w:rsid w:val="0071587F"/>
    <w:rsid w:val="00740CB5"/>
    <w:rsid w:val="00757CC6"/>
    <w:rsid w:val="007634B3"/>
    <w:rsid w:val="00792C0E"/>
    <w:rsid w:val="007A4FDE"/>
    <w:rsid w:val="007B072D"/>
    <w:rsid w:val="007B65C5"/>
    <w:rsid w:val="007E4E9B"/>
    <w:rsid w:val="008003CC"/>
    <w:rsid w:val="00825D96"/>
    <w:rsid w:val="0084327B"/>
    <w:rsid w:val="00843282"/>
    <w:rsid w:val="008731C5"/>
    <w:rsid w:val="00884EB3"/>
    <w:rsid w:val="00887495"/>
    <w:rsid w:val="008947E4"/>
    <w:rsid w:val="008B730C"/>
    <w:rsid w:val="008E70F7"/>
    <w:rsid w:val="009054CB"/>
    <w:rsid w:val="00920924"/>
    <w:rsid w:val="009464C4"/>
    <w:rsid w:val="00956341"/>
    <w:rsid w:val="009627CB"/>
    <w:rsid w:val="009A409F"/>
    <w:rsid w:val="009A74F5"/>
    <w:rsid w:val="009B79A7"/>
    <w:rsid w:val="009C46C3"/>
    <w:rsid w:val="009C69BE"/>
    <w:rsid w:val="009F5BB0"/>
    <w:rsid w:val="00A038D9"/>
    <w:rsid w:val="00A03F46"/>
    <w:rsid w:val="00A10A20"/>
    <w:rsid w:val="00A14E99"/>
    <w:rsid w:val="00A25C28"/>
    <w:rsid w:val="00A3267A"/>
    <w:rsid w:val="00A411BB"/>
    <w:rsid w:val="00AA09C1"/>
    <w:rsid w:val="00AA409C"/>
    <w:rsid w:val="00AA618A"/>
    <w:rsid w:val="00AB27B5"/>
    <w:rsid w:val="00AC14B7"/>
    <w:rsid w:val="00AC6A46"/>
    <w:rsid w:val="00AD4104"/>
    <w:rsid w:val="00AE5B51"/>
    <w:rsid w:val="00B04B2F"/>
    <w:rsid w:val="00B620B9"/>
    <w:rsid w:val="00B86083"/>
    <w:rsid w:val="00BB211E"/>
    <w:rsid w:val="00BB66FA"/>
    <w:rsid w:val="00BC3DF6"/>
    <w:rsid w:val="00BC6221"/>
    <w:rsid w:val="00BC7957"/>
    <w:rsid w:val="00BD18E6"/>
    <w:rsid w:val="00BD67A6"/>
    <w:rsid w:val="00C30E12"/>
    <w:rsid w:val="00C31798"/>
    <w:rsid w:val="00C379AD"/>
    <w:rsid w:val="00C71B20"/>
    <w:rsid w:val="00C93AA9"/>
    <w:rsid w:val="00C94FA0"/>
    <w:rsid w:val="00CA1104"/>
    <w:rsid w:val="00CB1586"/>
    <w:rsid w:val="00CC6E82"/>
    <w:rsid w:val="00CC75EE"/>
    <w:rsid w:val="00CD1426"/>
    <w:rsid w:val="00CF0AF2"/>
    <w:rsid w:val="00D01C16"/>
    <w:rsid w:val="00D22545"/>
    <w:rsid w:val="00D30516"/>
    <w:rsid w:val="00D46C2E"/>
    <w:rsid w:val="00D62EC0"/>
    <w:rsid w:val="00D83B98"/>
    <w:rsid w:val="00D8488E"/>
    <w:rsid w:val="00DD570F"/>
    <w:rsid w:val="00DF6CC1"/>
    <w:rsid w:val="00E0390A"/>
    <w:rsid w:val="00E252A7"/>
    <w:rsid w:val="00E601F1"/>
    <w:rsid w:val="00E67E76"/>
    <w:rsid w:val="00E74837"/>
    <w:rsid w:val="00E77746"/>
    <w:rsid w:val="00E96A98"/>
    <w:rsid w:val="00EA0556"/>
    <w:rsid w:val="00EE575F"/>
    <w:rsid w:val="00EF05DE"/>
    <w:rsid w:val="00F039E2"/>
    <w:rsid w:val="00F04156"/>
    <w:rsid w:val="00F23621"/>
    <w:rsid w:val="00F377D8"/>
    <w:rsid w:val="00F47B1D"/>
    <w:rsid w:val="00F61AF8"/>
    <w:rsid w:val="00F66FC3"/>
    <w:rsid w:val="00F7179F"/>
    <w:rsid w:val="00F8486F"/>
    <w:rsid w:val="00F91D97"/>
    <w:rsid w:val="00FA7A10"/>
    <w:rsid w:val="00FC6F68"/>
    <w:rsid w:val="00FD743E"/>
    <w:rsid w:val="00FE6C88"/>
    <w:rsid w:val="05A937D3"/>
    <w:rsid w:val="0E46513D"/>
    <w:rsid w:val="10961B97"/>
    <w:rsid w:val="10BB3B38"/>
    <w:rsid w:val="1DC72024"/>
    <w:rsid w:val="22FD16DB"/>
    <w:rsid w:val="257F5416"/>
    <w:rsid w:val="26E42706"/>
    <w:rsid w:val="33255888"/>
    <w:rsid w:val="370071E9"/>
    <w:rsid w:val="37A61599"/>
    <w:rsid w:val="3B6A1938"/>
    <w:rsid w:val="3C060B8F"/>
    <w:rsid w:val="3E2B058C"/>
    <w:rsid w:val="3EBD05DA"/>
    <w:rsid w:val="47961070"/>
    <w:rsid w:val="56764FE6"/>
    <w:rsid w:val="5D3A0819"/>
    <w:rsid w:val="5D812106"/>
    <w:rsid w:val="5DCB5834"/>
    <w:rsid w:val="5F141412"/>
    <w:rsid w:val="60832B65"/>
    <w:rsid w:val="6904785B"/>
    <w:rsid w:val="6A910C89"/>
    <w:rsid w:val="6BB51E46"/>
    <w:rsid w:val="6DBB5819"/>
    <w:rsid w:val="6F520F8E"/>
    <w:rsid w:val="708A79BB"/>
    <w:rsid w:val="71084FC4"/>
    <w:rsid w:val="76691A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spacing w:beforeLines="0" w:afterLines="0"/>
      <w:ind w:firstLine="420" w:firstLineChars="200"/>
    </w:pPr>
    <w:rPr>
      <w:rFonts w:hint="default"/>
      <w:sz w:val="21"/>
      <w:szCs w:val="22"/>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character" w:styleId="8">
    <w:name w:val="page number"/>
    <w:basedOn w:val="7"/>
    <w:qFormat/>
    <w:uiPriority w:val="0"/>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脚 字符"/>
    <w:basedOn w:val="7"/>
    <w:link w:val="3"/>
    <w:qFormat/>
    <w:uiPriority w:val="0"/>
    <w:rPr>
      <w:rFonts w:ascii="Times New Roman" w:hAnsi="Times New Roman" w:eastAsia="宋体" w:cs="Times New Roman"/>
      <w:sz w:val="18"/>
      <w:szCs w:val="18"/>
    </w:rPr>
  </w:style>
  <w:style w:type="character" w:customStyle="1" w:styleId="12">
    <w:name w:val="页眉 字符"/>
    <w:basedOn w:val="7"/>
    <w:link w:val="4"/>
    <w:qFormat/>
    <w:uiPriority w:val="0"/>
    <w:rPr>
      <w:rFonts w:ascii="Times New Roman" w:hAnsi="Times New Roman" w:eastAsia="宋体" w:cs="Times New Roman"/>
      <w:sz w:val="18"/>
      <w:szCs w:val="18"/>
    </w:rPr>
  </w:style>
  <w:style w:type="character" w:customStyle="1" w:styleId="13">
    <w:name w:val="NormalCharacter"/>
    <w:semiHidden/>
    <w:qFormat/>
    <w:uiPriority w:val="0"/>
  </w:style>
  <w:style w:type="paragraph" w:customStyle="1" w:styleId="14">
    <w:name w:val="Body text|1"/>
    <w:basedOn w:val="1"/>
    <w:qFormat/>
    <w:uiPriority w:val="0"/>
    <w:pPr>
      <w:spacing w:line="341" w:lineRule="auto"/>
      <w:ind w:firstLine="400"/>
    </w:pPr>
    <w:rPr>
      <w:rFonts w:ascii="宋体" w:hAnsi="宋体" w:cs="宋体"/>
      <w:sz w:val="30"/>
      <w:szCs w:val="30"/>
      <w:lang w:val="zh-TW" w:eastAsia="zh-TW" w:bidi="zh-TW"/>
    </w:rPr>
  </w:style>
  <w:style w:type="character" w:customStyle="1" w:styleId="15">
    <w:name w:val="font31"/>
    <w:basedOn w:val="7"/>
    <w:qFormat/>
    <w:uiPriority w:val="0"/>
    <w:rPr>
      <w:rFonts w:hint="eastAsia" w:ascii="宋体" w:hAnsi="宋体" w:eastAsia="宋体" w:cs="宋体"/>
      <w:b/>
      <w:bCs/>
      <w:color w:val="000000"/>
      <w:sz w:val="22"/>
      <w:szCs w:val="22"/>
      <w:u w:val="none"/>
    </w:rPr>
  </w:style>
  <w:style w:type="character" w:customStyle="1" w:styleId="16">
    <w:name w:val="font81"/>
    <w:basedOn w:val="7"/>
    <w:qFormat/>
    <w:uiPriority w:val="0"/>
    <w:rPr>
      <w:rFonts w:hint="eastAsia" w:ascii="宋体" w:hAnsi="宋体" w:eastAsia="宋体" w:cs="宋体"/>
      <w:b/>
      <w:bCs/>
      <w:color w:val="000000"/>
      <w:sz w:val="22"/>
      <w:szCs w:val="22"/>
      <w:u w:val="none"/>
    </w:rPr>
  </w:style>
  <w:style w:type="character" w:customStyle="1" w:styleId="17">
    <w:name w:val="font101"/>
    <w:basedOn w:val="7"/>
    <w:qFormat/>
    <w:uiPriority w:val="0"/>
    <w:rPr>
      <w:rFonts w:hint="eastAsia" w:ascii="宋体" w:hAnsi="宋体" w:eastAsia="宋体" w:cs="宋体"/>
      <w:b/>
      <w:bCs/>
      <w:color w:val="000000"/>
      <w:sz w:val="22"/>
      <w:szCs w:val="22"/>
      <w:u w:val="none"/>
    </w:rPr>
  </w:style>
  <w:style w:type="character" w:customStyle="1" w:styleId="18">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www.xpxzlt.cn</Company>
  <Pages>2</Pages>
  <Words>643</Words>
  <Characters>669</Characters>
  <Lines>10</Lines>
  <Paragraphs>2</Paragraphs>
  <TotalTime>1</TotalTime>
  <ScaleCrop>false</ScaleCrop>
  <LinksUpToDate>false</LinksUpToDate>
  <CharactersWithSpaces>799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2020-04-24T09:53:00Z</dcterms:created>
  <dc:creator>999宝藏网</dc:creator>
  <cp:lastModifiedBy>雷敏</cp:lastModifiedBy>
  <cp:lastPrinted>2023-03-14T02:08:00Z</cp:lastPrinted>
  <dcterms:modified xsi:type="dcterms:W3CDTF">2023-09-28T08:01:28Z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35EF71F15D66482D8F44AA94ACFC5C9C</vt:lpwstr>
  </property>
</Properties>
</file>