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ˎ̥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  <w:t>职能部门领导本学期听课联系教学单位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  <w:t>（建议，可根据领导干部学科专业背景调整）</w:t>
      </w:r>
    </w:p>
    <w:tbl>
      <w:tblPr>
        <w:tblStyle w:val="3"/>
        <w:tblW w:w="9823" w:type="dxa"/>
        <w:tblInd w:w="-30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55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职能部门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教学单位安排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信息科学与工程学院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、外国语学院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教学监测与评估中心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学生工作部（处）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新闻与文法学院、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校团委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城市建设学院、马克思主义学院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（党委教师工作部、教师发展中心）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机电与自动化学院、新闻与文法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校企合作办公室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信息科学与工程学院、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科学技术处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机电与自动化学院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理事会办公室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城市建设学院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（党委办公室、国际交流处）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马克思主义学院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发展规划办公室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信息科学与工程学院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党委组织部（统战部）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党委宣传部（校报）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新闻与文法学院、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党委保卫部（处）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校工会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城市建设学院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招生与就业指导处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机电与自动化学院、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经济管理学院、基础科学部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实验室与设备管理处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经济管理学院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总务处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机电与自动化学院、外国语学院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基建处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机电与自动化学院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马克思主义学院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信息技术中心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信息科学与工程学院、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基础科学部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校友会工作办公室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外国语学院、基础科学部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国际教育学院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马克思主义学院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嘉鱼校区工作部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嘉鱼校区课堂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31E93407"/>
    <w:rsid w:val="31E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2024-02-26T08:09:00Z</dcterms:created>
  <dc:creator>玄之又玄</dc:creator>
  <cp:lastModifiedBy>玄之又玄</cp:lastModifiedBy>
  <dcterms:modified xsi:type="dcterms:W3CDTF">2024-02-26T08:16:54Z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50C78C6071C647AF8F998E895101F89F_11</vt:lpwstr>
  </property>
</Properties>
</file>