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auto"/>
        <w:jc w:val="center"/>
        <w:rPr>
          <w:rFonts w:ascii="华文中宋" w:hAnsi="华文中宋" w:eastAsia="华文中宋"/>
          <w:b/>
          <w:bCs/>
          <w:color w:val="FF0000"/>
          <w:spacing w:val="100"/>
          <w:w w:val="50"/>
          <w:kern w:val="96"/>
          <w:position w:val="-6"/>
          <w:sz w:val="108"/>
          <w:szCs w:val="108"/>
        </w:rPr>
      </w:pPr>
      <w:r>
        <w:rPr>
          <w:rFonts w:hint="eastAsia" w:ascii="华文中宋" w:hAnsi="华文中宋" w:eastAsia="华文中宋"/>
          <w:b/>
          <w:bCs/>
          <w:color w:val="FF0000"/>
          <w:spacing w:val="100"/>
          <w:w w:val="50"/>
          <w:kern w:val="96"/>
          <w:position w:val="-6"/>
          <w:sz w:val="108"/>
          <w:szCs w:val="108"/>
        </w:rPr>
        <w:t>武昌首义学院教务处文件</w:t>
      </w:r>
    </w:p>
    <w:p>
      <w:pPr>
        <w:spacing w:before="312" w:beforeLines="100" w:after="312" w:afterLines="100" w:line="240" w:lineRule="exact"/>
        <w:jc w:val="center"/>
        <w:rPr>
          <w:rFonts w:ascii="楷体_GB2312" w:eastAsia="楷体_GB2312"/>
          <w:bCs/>
          <w:color w:val="000000"/>
          <w:sz w:val="28"/>
          <w:szCs w:val="28"/>
        </w:rPr>
      </w:pPr>
      <w:r>
        <w:rPr>
          <w:rFonts w:hint="eastAsia" w:ascii="楷体_GB2312" w:eastAsia="楷体_GB2312"/>
          <w:bCs/>
          <w:color w:val="000000"/>
          <w:sz w:val="28"/>
          <w:szCs w:val="28"/>
        </w:rPr>
        <w:t>教务【20</w:t>
      </w:r>
      <w:r>
        <w:rPr>
          <w:rFonts w:ascii="楷体_GB2312" w:eastAsia="楷体_GB2312"/>
          <w:bCs/>
          <w:color w:val="000000"/>
          <w:sz w:val="28"/>
          <w:szCs w:val="28"/>
        </w:rPr>
        <w:t>2</w:t>
      </w:r>
      <w:r>
        <w:rPr>
          <w:rFonts w:hint="eastAsia" w:ascii="楷体_GB2312" w:eastAsia="楷体_GB2312"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 w:ascii="楷体_GB2312" w:eastAsia="楷体_GB2312"/>
          <w:bCs/>
          <w:color w:val="000000"/>
          <w:sz w:val="28"/>
          <w:szCs w:val="28"/>
        </w:rPr>
        <w:t>】第</w:t>
      </w:r>
      <w:r>
        <w:rPr>
          <w:rFonts w:hint="eastAsia" w:ascii="楷体_GB2312" w:eastAsia="楷体_GB2312"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楷体_GB2312" w:eastAsia="楷体_GB2312"/>
          <w:bCs/>
          <w:color w:val="000000"/>
          <w:sz w:val="28"/>
          <w:szCs w:val="28"/>
        </w:rPr>
        <w:t>号</w:t>
      </w:r>
    </w:p>
    <w:p>
      <w:pPr>
        <w:spacing w:before="312" w:beforeLines="100" w:after="312" w:afterLines="100" w:line="240" w:lineRule="exact"/>
        <w:rPr>
          <w:rStyle w:val="14"/>
          <w:rFonts w:hint="eastAsia" w:ascii="宋体" w:hAnsi="宋体" w:eastAsiaTheme="minorEastAsia" w:cstheme="minorBidi"/>
          <w:b/>
          <w:sz w:val="36"/>
          <w:szCs w:val="36"/>
        </w:rPr>
      </w:pPr>
      <w:r>
        <w:rPr>
          <w:rFonts w:hint="eastAsia" w:ascii="楷体_GB2312" w:eastAsia="楷体_GB2312"/>
          <w:b/>
          <w:bCs/>
          <w:color w:val="FF0000"/>
          <w:sz w:val="18"/>
          <w:szCs w:val="18"/>
          <w:u w:val="thick"/>
        </w:rPr>
        <w:t xml:space="preserve">                                                                                               </w:t>
      </w:r>
    </w:p>
    <w:p>
      <w:pPr>
        <w:jc w:val="center"/>
        <w:rPr>
          <w:rStyle w:val="14"/>
          <w:rFonts w:hint="eastAsia" w:ascii="宋体" w:hAnsi="宋体" w:eastAsiaTheme="minorEastAsia" w:cstheme="minorBidi"/>
          <w:b/>
          <w:sz w:val="36"/>
          <w:szCs w:val="36"/>
        </w:rPr>
      </w:pPr>
      <w:bookmarkStart w:id="0" w:name="_GoBack"/>
      <w:r>
        <w:rPr>
          <w:rStyle w:val="14"/>
          <w:rFonts w:hint="eastAsia" w:ascii="宋体" w:hAnsi="宋体" w:eastAsiaTheme="minorEastAsia" w:cstheme="minorBidi"/>
          <w:b/>
          <w:sz w:val="36"/>
          <w:szCs w:val="36"/>
        </w:rPr>
        <w:t>关于开展2024版专科专业人才培养方案验收工作的</w:t>
      </w:r>
    </w:p>
    <w:p>
      <w:pPr>
        <w:jc w:val="center"/>
        <w:rPr>
          <w:rStyle w:val="14"/>
          <w:rFonts w:ascii="宋体" w:hAnsi="宋体" w:eastAsiaTheme="minorEastAsia" w:cstheme="minorBidi"/>
          <w:b/>
          <w:sz w:val="36"/>
          <w:szCs w:val="36"/>
        </w:rPr>
      </w:pPr>
      <w:r>
        <w:rPr>
          <w:rStyle w:val="14"/>
          <w:rFonts w:hint="eastAsia" w:ascii="宋体" w:hAnsi="宋体" w:eastAsiaTheme="minorEastAsia" w:cstheme="minorBidi"/>
          <w:b/>
          <w:sz w:val="36"/>
          <w:szCs w:val="36"/>
        </w:rPr>
        <w:t>通知</w:t>
      </w:r>
    </w:p>
    <w:bookmarkEnd w:id="0"/>
    <w:p>
      <w:pPr>
        <w:spacing w:line="560" w:lineRule="exac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各有专科专业的学院：</w:t>
      </w:r>
    </w:p>
    <w:p>
      <w:pPr>
        <w:spacing w:line="560" w:lineRule="exact"/>
        <w:ind w:firstLine="560" w:firstLineChars="200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根据《关于制订2024版专科专业人才培养方案指导意见的通知》（院教〔2023〕73号）文件要求，各单位需按时开展2024版专科专业人才培养方案验收工作，并组织召开2024版专科人才培养方案验收会，现将有关工作要求通知如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2" w:firstLineChars="200"/>
        <w:jc w:val="left"/>
        <w:textAlignment w:val="auto"/>
        <w:rPr>
          <w:rFonts w:hint="eastAsia" w:ascii="楷体_GB2312" w:hAnsi="宋体" w:eastAsia="楷体_GB2312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宋体" w:eastAsia="楷体_GB2312" w:cs="Times New Roman"/>
          <w:b/>
          <w:bCs/>
          <w:kern w:val="2"/>
          <w:sz w:val="28"/>
          <w:szCs w:val="28"/>
          <w:lang w:val="en-US" w:eastAsia="zh-CN" w:bidi="ar-SA"/>
        </w:rPr>
        <w:t>专业名单</w:t>
      </w:r>
    </w:p>
    <w:tbl>
      <w:tblPr>
        <w:tblStyle w:val="7"/>
        <w:tblW w:w="8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1"/>
        <w:gridCol w:w="4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48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信息科学与工程学院</w:t>
            </w:r>
          </w:p>
        </w:tc>
        <w:tc>
          <w:tcPr>
            <w:tcW w:w="48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计算机应用技术（腾讯云特色班）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信息科学与工程学院</w:t>
            </w:r>
          </w:p>
        </w:tc>
        <w:tc>
          <w:tcPr>
            <w:tcW w:w="48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计算机应用技术（华为云特色班）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信息科学与工程学院</w:t>
            </w:r>
          </w:p>
        </w:tc>
        <w:tc>
          <w:tcPr>
            <w:tcW w:w="48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现代通信技术（5G特色班）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机电与自动化学院</w:t>
            </w:r>
          </w:p>
        </w:tc>
        <w:tc>
          <w:tcPr>
            <w:tcW w:w="48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机电一体化技术（工业机器人方向）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机电与自动化学院</w:t>
            </w:r>
          </w:p>
        </w:tc>
        <w:tc>
          <w:tcPr>
            <w:tcW w:w="48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机电与自动化学院</w:t>
            </w:r>
          </w:p>
        </w:tc>
        <w:tc>
          <w:tcPr>
            <w:tcW w:w="48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48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建筑工程技术（智能建造方向）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48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大数据与财务管理（腾讯云特色班）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48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市场营销（腾讯云特色班）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5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48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2" w:firstLineChars="200"/>
        <w:jc w:val="left"/>
        <w:textAlignment w:val="auto"/>
        <w:rPr>
          <w:rFonts w:hint="eastAsia" w:ascii="楷体_GB2312" w:hAnsi="宋体" w:eastAsia="楷体_GB2312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宋体" w:eastAsia="楷体_GB2312" w:cs="Times New Roman"/>
          <w:b/>
          <w:bCs/>
          <w:kern w:val="2"/>
          <w:sz w:val="28"/>
          <w:szCs w:val="28"/>
          <w:lang w:val="en-US" w:eastAsia="zh-CN" w:bidi="ar-SA"/>
        </w:rPr>
        <w:t>工作安排</w:t>
      </w:r>
    </w:p>
    <w:p>
      <w:pPr>
        <w:spacing w:line="560" w:lineRule="exact"/>
        <w:ind w:firstLine="560" w:firstLineChars="200"/>
        <w:rPr>
          <w:rFonts w:hint="eastAsia" w:ascii="楷体_GB2312" w:hAnsi="宋体" w:eastAsia="楷体_GB2312"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1.时间安排：各单位需在本学期第六周周三（4月3日）前组织召开验收会，完成验收工作。</w:t>
      </w:r>
    </w:p>
    <w:p>
      <w:pPr>
        <w:spacing w:line="560" w:lineRule="exact"/>
        <w:ind w:firstLine="560" w:firstLineChars="200"/>
        <w:rPr>
          <w:rFonts w:hint="eastAsia" w:ascii="楷体_GB2312" w:hAnsi="宋体" w:eastAsia="楷体_GB2312"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2.验收会建议参会人员：各学院教学指导委员会成员、行业（企业）专家、教务处（校企合作办）相关人员。</w:t>
      </w:r>
    </w:p>
    <w:p>
      <w:pPr>
        <w:spacing w:line="560" w:lineRule="exact"/>
        <w:ind w:firstLine="560" w:firstLineChars="200"/>
        <w:rPr>
          <w:rFonts w:hint="eastAsia" w:ascii="楷体_GB2312" w:hAnsi="宋体" w:eastAsia="楷体_GB2312"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3.报送时间：</w:t>
      </w:r>
      <w:r>
        <w:rPr>
          <w:rFonts w:hint="eastAsia" w:ascii="楷体_GB2312" w:hAnsi="宋体" w:eastAsia="楷体_GB2312"/>
          <w:sz w:val="28"/>
          <w:szCs w:val="28"/>
        </w:rPr>
        <w:t>各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单位验收会议具体安排请于会前三天报送至教务处教研科（行政楼204办公室），联系人：夏世酉珍，联系电话：88426440。邮箱：412464978@qq.com。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2" w:firstLineChars="200"/>
        <w:jc w:val="left"/>
        <w:textAlignment w:val="auto"/>
        <w:rPr>
          <w:rFonts w:hint="eastAsia" w:ascii="楷体_GB2312" w:hAnsi="宋体" w:eastAsia="楷体_GB2312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宋体" w:eastAsia="楷体_GB2312" w:cs="Times New Roman"/>
          <w:b/>
          <w:bCs/>
          <w:kern w:val="2"/>
          <w:sz w:val="28"/>
          <w:szCs w:val="28"/>
          <w:lang w:val="en-US" w:eastAsia="zh-CN" w:bidi="ar-SA"/>
        </w:rPr>
        <w:t>注意事项</w:t>
      </w:r>
    </w:p>
    <w:p>
      <w:pPr>
        <w:spacing w:line="560" w:lineRule="exact"/>
        <w:ind w:firstLine="560" w:firstLineChars="200"/>
        <w:rPr>
          <w:rFonts w:hint="eastAsia" w:ascii="楷体_GB2312" w:hAnsi="宋体" w:eastAsia="楷体_GB2312"/>
          <w:sz w:val="28"/>
          <w:szCs w:val="28"/>
          <w:lang w:eastAsia="zh-CN"/>
        </w:rPr>
      </w:pP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1.专科专业人才培养方案需</w:t>
      </w:r>
      <w:r>
        <w:rPr>
          <w:rFonts w:hint="eastAsia" w:ascii="楷体_GB2312" w:hAnsi="宋体" w:eastAsia="楷体_GB2312"/>
          <w:sz w:val="28"/>
          <w:szCs w:val="28"/>
        </w:rPr>
        <w:t>突出职业教育的类型特点，深化产教融合、校企合作，突出专业特色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；</w:t>
      </w:r>
    </w:p>
    <w:p>
      <w:pPr>
        <w:spacing w:line="560" w:lineRule="exact"/>
        <w:ind w:firstLine="560" w:firstLineChars="200"/>
        <w:rPr>
          <w:rFonts w:hint="eastAsia" w:ascii="楷体_GB2312" w:hAnsi="宋体" w:eastAsia="楷体_GB2312"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2.</w:t>
      </w:r>
      <w:r>
        <w:rPr>
          <w:rFonts w:hint="eastAsia" w:ascii="楷体_GB2312" w:hAnsi="宋体" w:eastAsia="楷体_GB2312"/>
          <w:sz w:val="28"/>
          <w:szCs w:val="28"/>
        </w:rPr>
        <w:t>课程安排需体现面向职业岗位、促进就业、促进“书证融合”等要求，将职业技能等级标准有关内容及要求有机融入专业课程教学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；</w:t>
      </w:r>
    </w:p>
    <w:p>
      <w:pPr>
        <w:spacing w:line="560" w:lineRule="exact"/>
        <w:ind w:firstLine="560" w:firstLineChars="200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3.</w:t>
      </w:r>
      <w:r>
        <w:rPr>
          <w:rFonts w:hint="eastAsia" w:ascii="楷体_GB2312" w:hAnsi="宋体" w:eastAsia="楷体_GB2312"/>
          <w:sz w:val="28"/>
          <w:szCs w:val="28"/>
        </w:rPr>
        <w:t>校企合作专业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在人才培养方案修订过程中，要注意与</w:t>
      </w:r>
      <w:r>
        <w:rPr>
          <w:rFonts w:hint="eastAsia" w:ascii="楷体_GB2312" w:hAnsi="宋体" w:eastAsia="楷体_GB2312"/>
          <w:sz w:val="28"/>
          <w:szCs w:val="28"/>
        </w:rPr>
        <w:t>企业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及时</w:t>
      </w:r>
      <w:r>
        <w:rPr>
          <w:rFonts w:hint="eastAsia" w:ascii="楷体_GB2312" w:hAnsi="宋体" w:eastAsia="楷体_GB2312"/>
          <w:sz w:val="28"/>
          <w:szCs w:val="28"/>
        </w:rPr>
        <w:t>沟通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，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充分考虑企业提出的建议与意见；</w:t>
      </w:r>
    </w:p>
    <w:p>
      <w:pPr>
        <w:spacing w:line="560" w:lineRule="exact"/>
        <w:ind w:firstLine="560" w:firstLineChars="200"/>
        <w:rPr>
          <w:rFonts w:hint="eastAsia" w:ascii="楷体_GB2312" w:hAnsi="宋体" w:eastAsia="楷体_GB2312"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4.通过验收的专科专业才人培养方案请以学院为单位统一提交。纸质档需</w:t>
      </w:r>
      <w:r>
        <w:rPr>
          <w:rFonts w:hint="eastAsia" w:ascii="楷体_GB2312" w:hAnsi="宋体" w:eastAsia="楷体_GB2312"/>
          <w:sz w:val="28"/>
          <w:szCs w:val="28"/>
        </w:rPr>
        <w:t>各学院教学院长及专业负责人在各专业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人培</w:t>
      </w:r>
      <w:r>
        <w:rPr>
          <w:rFonts w:hint="eastAsia" w:ascii="楷体_GB2312" w:hAnsi="宋体" w:eastAsia="楷体_GB2312"/>
          <w:sz w:val="28"/>
          <w:szCs w:val="28"/>
        </w:rPr>
        <w:t>纸质档的尾页签字并盖学院公章，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于2024年4月12日前</w:t>
      </w:r>
      <w:r>
        <w:rPr>
          <w:rFonts w:hint="eastAsia" w:ascii="楷体_GB2312" w:hAnsi="宋体" w:eastAsia="楷体_GB2312"/>
          <w:sz w:val="28"/>
          <w:szCs w:val="28"/>
        </w:rPr>
        <w:t>报送至行政楼204办公室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；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电子档</w:t>
      </w:r>
      <w:r>
        <w:rPr>
          <w:rFonts w:hint="eastAsia" w:ascii="楷体_GB2312" w:hAnsi="宋体" w:eastAsia="楷体_GB2312"/>
          <w:sz w:val="28"/>
          <w:szCs w:val="28"/>
        </w:rPr>
        <w:t>打包发至邮箱412464978@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qq.com，需包含PDF及WORD两种格式文件。</w:t>
      </w:r>
    </w:p>
    <w:p>
      <w:pPr>
        <w:spacing w:line="560" w:lineRule="exact"/>
        <w:ind w:firstLine="560" w:firstLineChars="200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原则上教务处将不再对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通过验收的</w:t>
      </w:r>
      <w:r>
        <w:rPr>
          <w:rFonts w:hint="eastAsia" w:ascii="楷体_GB2312" w:hAnsi="宋体" w:eastAsia="楷体_GB2312"/>
          <w:sz w:val="28"/>
          <w:szCs w:val="28"/>
        </w:rPr>
        <w:t>人培电子档做任何调整，直接进行印制工作。培养方案一经印制，原则上不再接受任何修改。请各学院高度重视、严格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审核</w:t>
      </w:r>
      <w:r>
        <w:rPr>
          <w:rFonts w:hint="eastAsia" w:ascii="楷体_GB2312" w:hAnsi="宋体" w:eastAsia="楷体_GB2312"/>
          <w:sz w:val="28"/>
          <w:szCs w:val="28"/>
        </w:rPr>
        <w:t>，确保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人才培养方案</w:t>
      </w:r>
      <w:r>
        <w:rPr>
          <w:rFonts w:hint="eastAsia" w:ascii="楷体_GB2312" w:hAnsi="宋体" w:eastAsia="楷体_GB2312"/>
          <w:sz w:val="28"/>
          <w:szCs w:val="28"/>
        </w:rPr>
        <w:t>的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科学</w:t>
      </w:r>
      <w:r>
        <w:rPr>
          <w:rFonts w:hint="eastAsia" w:ascii="楷体_GB2312" w:hAnsi="宋体" w:eastAsia="楷体_GB2312"/>
          <w:sz w:val="28"/>
          <w:szCs w:val="28"/>
        </w:rPr>
        <w:t>性、准确性和严肃性。</w:t>
      </w:r>
    </w:p>
    <w:p>
      <w:pPr>
        <w:spacing w:line="560" w:lineRule="exact"/>
        <w:ind w:firstLine="560" w:firstLineChars="200"/>
        <w:jc w:val="right"/>
        <w:rPr>
          <w:rFonts w:hint="eastAsia" w:ascii="楷体_GB2312" w:hAnsi="宋体" w:eastAsia="楷体_GB2312"/>
          <w:sz w:val="28"/>
          <w:szCs w:val="28"/>
        </w:rPr>
      </w:pPr>
    </w:p>
    <w:p>
      <w:pPr>
        <w:spacing w:line="560" w:lineRule="exact"/>
        <w:ind w:firstLine="560" w:firstLineChars="200"/>
        <w:jc w:val="righ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教务处</w:t>
      </w:r>
    </w:p>
    <w:p>
      <w:pPr>
        <w:spacing w:line="560" w:lineRule="exact"/>
        <w:ind w:firstLine="560" w:firstLineChars="200"/>
        <w:jc w:val="right"/>
        <w:rPr>
          <w:rFonts w:hint="eastAsia" w:ascii="楷体_GB2312" w:hAnsi="宋体" w:eastAsia="楷体_GB2312"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/>
          <w:sz w:val="28"/>
          <w:szCs w:val="28"/>
        </w:rPr>
        <w:t>202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4</w:t>
      </w:r>
      <w:r>
        <w:rPr>
          <w:rFonts w:hint="eastAsia" w:ascii="楷体_GB2312" w:hAnsi="宋体" w:eastAsia="楷体_GB2312"/>
          <w:sz w:val="28"/>
          <w:szCs w:val="28"/>
        </w:rPr>
        <w:t>年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3</w:t>
      </w:r>
      <w:r>
        <w:rPr>
          <w:rFonts w:hint="eastAsia" w:ascii="楷体_GB2312" w:hAnsi="宋体" w:eastAsia="楷体_GB2312"/>
          <w:sz w:val="28"/>
          <w:szCs w:val="28"/>
        </w:rPr>
        <w:t>月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7</w:t>
      </w:r>
      <w:r>
        <w:rPr>
          <w:rFonts w:hint="eastAsia" w:ascii="楷体_GB2312" w:hAnsi="宋体" w:eastAsia="楷体_GB2312"/>
          <w:sz w:val="28"/>
          <w:szCs w:val="28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879" w:right="1700" w:bottom="879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D69C11"/>
    <w:multiLevelType w:val="singleLevel"/>
    <w:tmpl w:val="8FD69C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MWZjOWFlODMxN2Q2NzdkZTUwNzBiNjZmY2VkYjMifQ=="/>
  </w:docVars>
  <w:rsids>
    <w:rsidRoot w:val="00371D96"/>
    <w:rsid w:val="000048DD"/>
    <w:rsid w:val="00023B7A"/>
    <w:rsid w:val="000419F2"/>
    <w:rsid w:val="00067F7A"/>
    <w:rsid w:val="000709DC"/>
    <w:rsid w:val="000720F8"/>
    <w:rsid w:val="00074742"/>
    <w:rsid w:val="000D2CFA"/>
    <w:rsid w:val="000F02FB"/>
    <w:rsid w:val="00101273"/>
    <w:rsid w:val="001357D9"/>
    <w:rsid w:val="001924D2"/>
    <w:rsid w:val="00197F65"/>
    <w:rsid w:val="001F65E7"/>
    <w:rsid w:val="002179B0"/>
    <w:rsid w:val="00217DCD"/>
    <w:rsid w:val="00225924"/>
    <w:rsid w:val="00235848"/>
    <w:rsid w:val="002428F1"/>
    <w:rsid w:val="002658C7"/>
    <w:rsid w:val="00292896"/>
    <w:rsid w:val="002E6174"/>
    <w:rsid w:val="002F2F59"/>
    <w:rsid w:val="002F62E6"/>
    <w:rsid w:val="003006F6"/>
    <w:rsid w:val="00343426"/>
    <w:rsid w:val="00343A63"/>
    <w:rsid w:val="003464BF"/>
    <w:rsid w:val="003541FE"/>
    <w:rsid w:val="00366428"/>
    <w:rsid w:val="00371D96"/>
    <w:rsid w:val="003750E7"/>
    <w:rsid w:val="003E59B2"/>
    <w:rsid w:val="0043559D"/>
    <w:rsid w:val="00441ABA"/>
    <w:rsid w:val="004A0EE3"/>
    <w:rsid w:val="004C469F"/>
    <w:rsid w:val="0051013C"/>
    <w:rsid w:val="0054532F"/>
    <w:rsid w:val="00556C25"/>
    <w:rsid w:val="005904F0"/>
    <w:rsid w:val="005B32C1"/>
    <w:rsid w:val="00604C25"/>
    <w:rsid w:val="00610FEF"/>
    <w:rsid w:val="00640B46"/>
    <w:rsid w:val="00674F01"/>
    <w:rsid w:val="00692DA2"/>
    <w:rsid w:val="00694287"/>
    <w:rsid w:val="00694924"/>
    <w:rsid w:val="00695119"/>
    <w:rsid w:val="006A5A89"/>
    <w:rsid w:val="006B3327"/>
    <w:rsid w:val="006B4152"/>
    <w:rsid w:val="006D0710"/>
    <w:rsid w:val="006E00A5"/>
    <w:rsid w:val="006E25E9"/>
    <w:rsid w:val="0071208F"/>
    <w:rsid w:val="0071587F"/>
    <w:rsid w:val="00757CC6"/>
    <w:rsid w:val="007634B3"/>
    <w:rsid w:val="00792C0E"/>
    <w:rsid w:val="007B072D"/>
    <w:rsid w:val="007B65C5"/>
    <w:rsid w:val="007E4E9B"/>
    <w:rsid w:val="008003CC"/>
    <w:rsid w:val="00825D96"/>
    <w:rsid w:val="0084327B"/>
    <w:rsid w:val="00843282"/>
    <w:rsid w:val="008731C5"/>
    <w:rsid w:val="00884EB3"/>
    <w:rsid w:val="00887495"/>
    <w:rsid w:val="008947E4"/>
    <w:rsid w:val="008B730C"/>
    <w:rsid w:val="009054CB"/>
    <w:rsid w:val="00920924"/>
    <w:rsid w:val="009464C4"/>
    <w:rsid w:val="00956341"/>
    <w:rsid w:val="009627CB"/>
    <w:rsid w:val="009A74F5"/>
    <w:rsid w:val="009B79A7"/>
    <w:rsid w:val="009C46C3"/>
    <w:rsid w:val="009C69BE"/>
    <w:rsid w:val="009F5BB0"/>
    <w:rsid w:val="00A038D9"/>
    <w:rsid w:val="00A03F46"/>
    <w:rsid w:val="00A10A20"/>
    <w:rsid w:val="00A14E99"/>
    <w:rsid w:val="00A25C28"/>
    <w:rsid w:val="00A3267A"/>
    <w:rsid w:val="00A411BB"/>
    <w:rsid w:val="00AA409C"/>
    <w:rsid w:val="00AA618A"/>
    <w:rsid w:val="00AB27B5"/>
    <w:rsid w:val="00AC14B7"/>
    <w:rsid w:val="00AC6A46"/>
    <w:rsid w:val="00AD4104"/>
    <w:rsid w:val="00B620B9"/>
    <w:rsid w:val="00BB211E"/>
    <w:rsid w:val="00BB66FA"/>
    <w:rsid w:val="00BC6221"/>
    <w:rsid w:val="00BC7957"/>
    <w:rsid w:val="00BD18E6"/>
    <w:rsid w:val="00C30E12"/>
    <w:rsid w:val="00C379AD"/>
    <w:rsid w:val="00C71B20"/>
    <w:rsid w:val="00C93AA9"/>
    <w:rsid w:val="00C94FA0"/>
    <w:rsid w:val="00CA1104"/>
    <w:rsid w:val="00CC6E82"/>
    <w:rsid w:val="00CC75EE"/>
    <w:rsid w:val="00CD1426"/>
    <w:rsid w:val="00CF0AF2"/>
    <w:rsid w:val="00D01C16"/>
    <w:rsid w:val="00D30516"/>
    <w:rsid w:val="00D46C2E"/>
    <w:rsid w:val="00D62EC0"/>
    <w:rsid w:val="00D83B98"/>
    <w:rsid w:val="00D8488E"/>
    <w:rsid w:val="00DD570F"/>
    <w:rsid w:val="00DF6CC1"/>
    <w:rsid w:val="00E0390A"/>
    <w:rsid w:val="00E601F1"/>
    <w:rsid w:val="00E67E76"/>
    <w:rsid w:val="00E74837"/>
    <w:rsid w:val="00E77746"/>
    <w:rsid w:val="00E96A98"/>
    <w:rsid w:val="00EA0556"/>
    <w:rsid w:val="00EE575F"/>
    <w:rsid w:val="00F04156"/>
    <w:rsid w:val="00F23621"/>
    <w:rsid w:val="00F377D8"/>
    <w:rsid w:val="00F7179F"/>
    <w:rsid w:val="00F8486F"/>
    <w:rsid w:val="00F91D97"/>
    <w:rsid w:val="00FA7A10"/>
    <w:rsid w:val="00FC6F68"/>
    <w:rsid w:val="00FD743E"/>
    <w:rsid w:val="00FE6C88"/>
    <w:rsid w:val="05A937D3"/>
    <w:rsid w:val="0E46513D"/>
    <w:rsid w:val="0FB502D7"/>
    <w:rsid w:val="212424ED"/>
    <w:rsid w:val="3EBD05DA"/>
    <w:rsid w:val="4A2D2D4C"/>
    <w:rsid w:val="506B6777"/>
    <w:rsid w:val="56764FE6"/>
    <w:rsid w:val="60832B65"/>
    <w:rsid w:val="6D036490"/>
    <w:rsid w:val="71084FC4"/>
    <w:rsid w:val="7A34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autoRedefine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脚 字符"/>
    <w:basedOn w:val="8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字符"/>
    <w:basedOn w:val="8"/>
    <w:link w:val="4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www.xpxzlt.cn</Company>
  <Pages>4</Pages>
  <Words>1544</Words>
  <Characters>1762</Characters>
  <Lines>10</Lines>
  <Paragraphs>2</Paragraphs>
  <TotalTime>2</TotalTime>
  <ScaleCrop>false</ScaleCrop>
  <LinksUpToDate>false</LinksUpToDate>
  <CharactersWithSpaces>1897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2020-04-24T09:53:00Z</dcterms:created>
  <dc:creator>999宝藏网</dc:creator>
  <cp:lastModifiedBy>雷敏</cp:lastModifiedBy>
  <cp:lastPrinted>2021-01-28T02:47:00Z</cp:lastPrinted>
  <dcterms:modified xsi:type="dcterms:W3CDTF">2024-03-07T09:42:24Z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35EF71F15D66482D8F44AA94ACFC5C9C</vt:lpwstr>
  </property>
</Properties>
</file>