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4436223A">
      <w:pPr>
        <w:pStyle w:val="2"/>
        <w:bidi w:val="0"/>
        <w:jc w:val="center"/>
        <w:rPr>
          <w:rFonts w:hint="eastAsia" w:eastAsia="黑体"/>
          <w:sz w:val="36"/>
          <w:szCs w:val="36"/>
          <w:lang w:eastAsia="zh-CN"/>
        </w:rPr>
      </w:pPr>
      <w:r>
        <w:rPr>
          <w:rFonts w:hint="eastAsia"/>
          <w:sz w:val="36"/>
          <w:szCs w:val="36"/>
          <w:lang w:val="en-US" w:eastAsia="zh-CN"/>
        </w:rPr>
        <w:t>公务员素养与治理能力微</w:t>
      </w:r>
      <w:r>
        <w:rPr>
          <w:rFonts w:hint="eastAsia"/>
          <w:sz w:val="36"/>
          <w:szCs w:val="36"/>
        </w:rPr>
        <w:t>专业招生简章</w:t>
      </w:r>
      <w:r>
        <w:rPr>
          <w:rFonts w:hint="eastAsia"/>
          <w:sz w:val="36"/>
          <w:szCs w:val="36"/>
          <w:lang w:eastAsia="zh-CN"/>
        </w:rPr>
        <w:tab/>
      </w:r>
    </w:p>
    <w:p w14:paraId="72EB4C24">
      <w:pPr>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一、微专业介绍</w:t>
      </w:r>
    </w:p>
    <w:p w14:paraId="2D983A82">
      <w:pPr>
        <w:ind w:firstLine="560" w:firstLineChars="200"/>
        <w:rPr>
          <w:rFonts w:hint="eastAsia" w:ascii="仿宋" w:hAnsi="仿宋" w:eastAsia="仿宋" w:cs="仿宋"/>
          <w:b w:val="0"/>
          <w:bCs w:val="0"/>
          <w:kern w:val="2"/>
          <w:sz w:val="28"/>
          <w:szCs w:val="28"/>
          <w:shd w:val="clear" w:color="auto" w:fill="auto"/>
          <w:lang w:val="en-US" w:eastAsia="zh-CN" w:bidi="ar-SA"/>
        </w:rPr>
      </w:pPr>
      <w:r>
        <w:rPr>
          <w:rFonts w:hint="eastAsia" w:ascii="仿宋" w:hAnsi="仿宋" w:eastAsia="仿宋" w:cs="仿宋"/>
          <w:b w:val="0"/>
          <w:bCs w:val="0"/>
          <w:kern w:val="2"/>
          <w:sz w:val="28"/>
          <w:szCs w:val="28"/>
          <w:shd w:val="clear" w:color="auto" w:fill="auto"/>
          <w:lang w:val="en-US" w:eastAsia="zh-CN" w:bidi="ar-SA"/>
        </w:rPr>
        <w:t>依托法学专业，协同汉语言文学、新闻等专业的优质教学资源，开设“公务员素养与治理能力”微专业，对标公务员考试和行政事业人员选拔所需核心知识而设立的应用型专业，旨在培养适应基层治理现代化需要，具有良好的公务员应试技能、完备的公务员知识体系，以及实务工作技能的高素质、应用型、复合型卓越治理人才。</w:t>
      </w:r>
    </w:p>
    <w:p w14:paraId="257753AE">
      <w:pPr>
        <w:ind w:firstLine="560" w:firstLineChars="200"/>
        <w:rPr>
          <w:rFonts w:hint="eastAsia" w:ascii="仿宋" w:hAnsi="仿宋" w:eastAsia="仿宋" w:cs="仿宋"/>
          <w:b w:val="0"/>
          <w:bCs w:val="0"/>
          <w:kern w:val="2"/>
          <w:sz w:val="28"/>
          <w:szCs w:val="28"/>
          <w:shd w:val="clear" w:color="auto" w:fill="auto"/>
          <w:lang w:val="en-US" w:eastAsia="zh-CN" w:bidi="ar-SA"/>
        </w:rPr>
      </w:pPr>
      <w:r>
        <w:rPr>
          <w:rFonts w:hint="eastAsia" w:ascii="仿宋" w:hAnsi="仿宋" w:eastAsia="仿宋" w:cs="仿宋"/>
          <w:b w:val="0"/>
          <w:bCs w:val="0"/>
          <w:kern w:val="2"/>
          <w:sz w:val="28"/>
          <w:szCs w:val="28"/>
          <w:shd w:val="clear" w:color="auto" w:fill="auto"/>
          <w:lang w:val="en-US" w:eastAsia="zh-CN" w:bidi="ar-SA"/>
        </w:rPr>
        <w:t>专业坚持理论知识与实践技能有机结合，课程涵盖公务员考试的各个环节以及公务员实务工作的知识与技能，包括行政职业能力(3学分)、申论与公文写作(3学分）、公务员面试与沟通 (2学分）、公务员人文素养(1.5学分）、公务员法治素养(1.5学分）、公务员媒介素养与社情调查(2学分）等。微专业采用“课堂讲授+案例分析+ 训练模拟+实地调研”方式，为计划进入党政机关、企事业单位、社会团体从事工作的学生，提供基础性的公务员知识和能力培养支持。</w:t>
      </w:r>
    </w:p>
    <w:p w14:paraId="1FE5A62D">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二、培养目标</w:t>
      </w:r>
    </w:p>
    <w:p w14:paraId="4C427999">
      <w:pPr>
        <w:ind w:firstLine="560" w:firstLineChars="200"/>
        <w:rPr>
          <w:rFonts w:hint="default" w:ascii="仿宋" w:hAnsi="仿宋" w:eastAsia="仿宋" w:cs="仿宋"/>
          <w:sz w:val="28"/>
          <w:szCs w:val="28"/>
          <w:shd w:val="clear" w:color="auto" w:fill="auto"/>
          <w:lang w:val="en-US" w:eastAsia="zh-CN"/>
        </w:rPr>
      </w:pPr>
      <w:r>
        <w:rPr>
          <w:rFonts w:hint="eastAsia" w:ascii="仿宋" w:hAnsi="仿宋" w:eastAsia="仿宋" w:cs="仿宋"/>
          <w:b w:val="0"/>
          <w:bCs w:val="0"/>
          <w:kern w:val="2"/>
          <w:sz w:val="28"/>
          <w:szCs w:val="28"/>
          <w:shd w:val="clear" w:color="auto" w:fill="auto"/>
          <w:lang w:val="en-US" w:eastAsia="zh-CN" w:bidi="ar-SA"/>
        </w:rPr>
        <w:t>"公务员素养与治理能力"微专业旨在培养具备马克思主义理论素养、公务员行政和基层治理能力的高素质公务人才。通过行政职业能力、申论与公文写作、公务员面试与沟通、人文素养、法治素养、媒介素养及基层社情调查等课程设置，使其掌握考公考编技能和处理当代公务的能力，提升公共服务、调查研究和沟通协作能力，具备当代公务员在党政机关、企事业单位及非营利组织中的行政事务管理和公共政策分析能力，及其在文化传承、审美创造、价值引领和人际交往方面的综合素养。</w:t>
      </w:r>
    </w:p>
    <w:p w14:paraId="333CDF7A">
      <w:pPr>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三、专业特色</w:t>
      </w:r>
    </w:p>
    <w:p w14:paraId="7D65960E">
      <w:pPr>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（一）</w:t>
      </w:r>
      <w:r>
        <w:rPr>
          <w:rFonts w:hint="default" w:ascii="仿宋" w:hAnsi="仿宋" w:eastAsia="仿宋" w:cs="仿宋"/>
          <w:b w:val="0"/>
          <w:bCs w:val="0"/>
          <w:sz w:val="28"/>
          <w:szCs w:val="28"/>
          <w:lang w:val="en-US" w:eastAsia="zh-CN"/>
        </w:rPr>
        <w:t>理论与实践并重，打造全方位知识体系</w:t>
      </w:r>
    </w:p>
    <w:p w14:paraId="0A836A45">
      <w:pPr>
        <w:ind w:firstLine="560" w:firstLineChars="200"/>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本微专业坚持理论知识与实践技能有机结合的教学理念，课程全面覆盖公务员考试的各个环节以及公务员实务工作的核心知识与技能。通过行政职业能力、申论与公文写作、公务员面试与沟通等课程的系统学习，学生能够掌握公务员考试的必备知识</w:t>
      </w:r>
      <w:r>
        <w:rPr>
          <w:rFonts w:hint="eastAsia" w:ascii="仿宋" w:hAnsi="仿宋" w:eastAsia="仿宋" w:cs="仿宋"/>
          <w:b w:val="0"/>
          <w:bCs w:val="0"/>
          <w:sz w:val="28"/>
          <w:szCs w:val="28"/>
          <w:lang w:val="en-US" w:eastAsia="zh-CN"/>
        </w:rPr>
        <w:t>。</w:t>
      </w:r>
      <w:r>
        <w:rPr>
          <w:rFonts w:hint="default" w:ascii="仿宋" w:hAnsi="仿宋" w:eastAsia="仿宋" w:cs="仿宋"/>
          <w:b w:val="0"/>
          <w:bCs w:val="0"/>
          <w:sz w:val="28"/>
          <w:szCs w:val="28"/>
          <w:lang w:val="en-US" w:eastAsia="zh-CN"/>
        </w:rPr>
        <w:t>同时，通过公务员人文素养、公务员法治素养等课程的熏陶，学生的综合素质和治理能力将得到</w:t>
      </w:r>
      <w:r>
        <w:rPr>
          <w:rFonts w:hint="eastAsia" w:ascii="仿宋" w:hAnsi="仿宋" w:eastAsia="仿宋" w:cs="仿宋"/>
          <w:b w:val="0"/>
          <w:bCs w:val="0"/>
          <w:sz w:val="28"/>
          <w:szCs w:val="28"/>
          <w:lang w:val="en-US" w:eastAsia="zh-CN"/>
        </w:rPr>
        <w:t>有效</w:t>
      </w:r>
      <w:r>
        <w:rPr>
          <w:rFonts w:hint="default" w:ascii="仿宋" w:hAnsi="仿宋" w:eastAsia="仿宋" w:cs="仿宋"/>
          <w:b w:val="0"/>
          <w:bCs w:val="0"/>
          <w:sz w:val="28"/>
          <w:szCs w:val="28"/>
          <w:lang w:val="en-US" w:eastAsia="zh-CN"/>
        </w:rPr>
        <w:t>提升。</w:t>
      </w:r>
    </w:p>
    <w:p w14:paraId="7182E652">
      <w:pPr>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（二）</w:t>
      </w:r>
      <w:r>
        <w:rPr>
          <w:rFonts w:hint="default" w:ascii="仿宋" w:hAnsi="仿宋" w:eastAsia="仿宋" w:cs="仿宋"/>
          <w:b w:val="0"/>
          <w:bCs w:val="0"/>
          <w:sz w:val="28"/>
          <w:szCs w:val="28"/>
          <w:lang w:val="en-US" w:eastAsia="zh-CN"/>
        </w:rPr>
        <w:t>跨学科融合，培养复合型人才</w:t>
      </w:r>
    </w:p>
    <w:p w14:paraId="122F7D6B">
      <w:pPr>
        <w:ind w:firstLine="560" w:firstLineChars="200"/>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充分利用法学、汉语言文学、新闻等多学科交叉融合的优势，构建涵盖法律、文学、传媒等多领域知识的课程体系</w:t>
      </w:r>
      <w:r>
        <w:rPr>
          <w:rFonts w:hint="eastAsia" w:ascii="仿宋" w:hAnsi="仿宋" w:eastAsia="仿宋" w:cs="仿宋"/>
          <w:b w:val="0"/>
          <w:bCs w:val="0"/>
          <w:sz w:val="28"/>
          <w:szCs w:val="28"/>
          <w:lang w:val="en-US" w:eastAsia="zh-CN"/>
        </w:rPr>
        <w:t>，</w:t>
      </w:r>
      <w:r>
        <w:rPr>
          <w:rFonts w:hint="default" w:ascii="仿宋" w:hAnsi="仿宋" w:eastAsia="仿宋" w:cs="仿宋"/>
          <w:b w:val="0"/>
          <w:bCs w:val="0"/>
          <w:sz w:val="28"/>
          <w:szCs w:val="28"/>
          <w:lang w:val="en-US" w:eastAsia="zh-CN"/>
        </w:rPr>
        <w:t>拓宽学生的知识视野，</w:t>
      </w:r>
      <w:r>
        <w:rPr>
          <w:rFonts w:hint="eastAsia" w:ascii="仿宋" w:hAnsi="仿宋" w:eastAsia="仿宋" w:cs="仿宋"/>
          <w:b w:val="0"/>
          <w:bCs w:val="0"/>
          <w:sz w:val="28"/>
          <w:szCs w:val="28"/>
          <w:lang w:val="en-US" w:eastAsia="zh-CN"/>
        </w:rPr>
        <w:t>培养</w:t>
      </w:r>
      <w:r>
        <w:rPr>
          <w:rFonts w:hint="default" w:ascii="仿宋" w:hAnsi="仿宋" w:eastAsia="仿宋" w:cs="仿宋"/>
          <w:b w:val="0"/>
          <w:bCs w:val="0"/>
          <w:sz w:val="28"/>
          <w:szCs w:val="28"/>
          <w:lang w:val="en-US" w:eastAsia="zh-CN"/>
        </w:rPr>
        <w:t>综合思维能力和创新能力，为未来的治理工作提供更加多元化的视角和解决方案。</w:t>
      </w:r>
    </w:p>
    <w:p w14:paraId="4EAB9BB7">
      <w:pPr>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w:t>
      </w:r>
      <w:r>
        <w:rPr>
          <w:rFonts w:hint="default" w:ascii="仿宋" w:hAnsi="仿宋" w:eastAsia="仿宋" w:cs="仿宋"/>
          <w:b w:val="0"/>
          <w:bCs w:val="0"/>
          <w:sz w:val="28"/>
          <w:szCs w:val="28"/>
          <w:lang w:val="en-US" w:eastAsia="zh-CN"/>
        </w:rPr>
        <w:t>注重实战训练，提升应用能力</w:t>
      </w:r>
    </w:p>
    <w:p w14:paraId="45E428CA">
      <w:pPr>
        <w:ind w:firstLine="560" w:firstLineChars="200"/>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采用“课堂讲授+案例分析+训练模拟+实地调研”的多元化教学方式，通过真实的案例分析、模拟训练让学生在实践中深化理论知识，提升解决实际问题的能力。能够使学生更好地适应未来的工作环境，成为具有实战经验的治理人才。</w:t>
      </w:r>
    </w:p>
    <w:p w14:paraId="23D085C1">
      <w:pPr>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（四）</w:t>
      </w:r>
      <w:r>
        <w:rPr>
          <w:rFonts w:hint="default" w:ascii="仿宋" w:hAnsi="仿宋" w:eastAsia="仿宋" w:cs="仿宋"/>
          <w:b w:val="0"/>
          <w:bCs w:val="0"/>
          <w:sz w:val="28"/>
          <w:szCs w:val="28"/>
          <w:lang w:val="en-US" w:eastAsia="zh-CN"/>
        </w:rPr>
        <w:t>精准对接需求，助力职业发展</w:t>
      </w:r>
    </w:p>
    <w:p w14:paraId="5215F2B6">
      <w:pPr>
        <w:ind w:firstLine="560" w:firstLineChars="200"/>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本微专业紧密对接公务员考试和行政事业人员选拔的核心要求，通过系统的课程设置和实战化的教学模式，为学生提供从知识学习到技能提升再到职业发展的全方位支持平台。无论是计划进入党政机关、企事业单位还是社会团体从事工作的学生，都能够获得坚实的知识基础和技能支持，为未来的职业生涯奠定坚实的基础。</w:t>
      </w:r>
    </w:p>
    <w:p w14:paraId="13882833">
      <w:pPr>
        <w:ind w:firstLine="560" w:firstLineChars="200"/>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“公务员素养与治理能力”微专业</w:t>
      </w:r>
      <w:r>
        <w:rPr>
          <w:rFonts w:hint="eastAsia" w:ascii="仿宋" w:hAnsi="仿宋" w:eastAsia="仿宋" w:cs="仿宋"/>
          <w:b w:val="0"/>
          <w:bCs w:val="0"/>
          <w:sz w:val="28"/>
          <w:szCs w:val="28"/>
          <w:lang w:val="en-US" w:eastAsia="zh-CN"/>
        </w:rPr>
        <w:t>将为学生参加公务员、事业单位备考入职打下良好的前期基础</w:t>
      </w:r>
      <w:r>
        <w:rPr>
          <w:rFonts w:hint="default"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助力学生成为</w:t>
      </w:r>
      <w:r>
        <w:rPr>
          <w:rFonts w:hint="default" w:ascii="仿宋" w:hAnsi="仿宋" w:eastAsia="仿宋" w:cs="仿宋"/>
          <w:b w:val="0"/>
          <w:bCs w:val="0"/>
          <w:sz w:val="28"/>
          <w:szCs w:val="28"/>
          <w:lang w:val="en-US" w:eastAsia="zh-CN"/>
        </w:rPr>
        <w:t>高素质、应用型、复合型治理人才。我们期待每一位选择本微专业的学生，都能够在未来的治理工作中展现出卓越的才能和领导力。</w:t>
      </w:r>
    </w:p>
    <w:p w14:paraId="003096F0">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、招生对象及条件</w:t>
      </w:r>
    </w:p>
    <w:p w14:paraId="54D5A047">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（一）招生对象：本校</w:t>
      </w:r>
      <w:r>
        <w:rPr>
          <w:rFonts w:hint="eastAsia" w:ascii="仿宋" w:hAnsi="仿宋" w:eastAsia="仿宋" w:cs="仿宋"/>
          <w:b w:val="0"/>
          <w:bCs w:val="0"/>
          <w:sz w:val="28"/>
          <w:szCs w:val="28"/>
          <w:lang w:val="en-US" w:eastAsia="zh-CN"/>
        </w:rPr>
        <w:t>所有专业</w:t>
      </w:r>
      <w:r>
        <w:rPr>
          <w:rFonts w:hint="eastAsia" w:ascii="仿宋" w:hAnsi="仿宋" w:eastAsia="仿宋" w:cs="仿宋"/>
          <w:b w:val="0"/>
          <w:bCs w:val="0"/>
          <w:sz w:val="28"/>
          <w:szCs w:val="28"/>
        </w:rPr>
        <w:t>2023、2022级全日制本科生，学有余力，学习时间有保障。</w:t>
      </w:r>
    </w:p>
    <w:p w14:paraId="06AF2CB1">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二</w:t>
      </w:r>
      <w:r>
        <w:rPr>
          <w:rFonts w:hint="eastAsia" w:ascii="仿宋" w:hAnsi="仿宋" w:eastAsia="仿宋" w:cs="仿宋"/>
          <w:b w:val="0"/>
          <w:bCs w:val="0"/>
          <w:sz w:val="28"/>
          <w:szCs w:val="28"/>
        </w:rPr>
        <w:t>）学制、学分：1年，</w:t>
      </w:r>
      <w:r>
        <w:rPr>
          <w:rFonts w:hint="eastAsia" w:ascii="仿宋" w:hAnsi="仿宋" w:eastAsia="仿宋" w:cs="仿宋"/>
          <w:b w:val="0"/>
          <w:bCs w:val="0"/>
          <w:sz w:val="28"/>
          <w:szCs w:val="28"/>
          <w:lang w:val="en-US" w:eastAsia="zh-CN"/>
        </w:rPr>
        <w:t>13</w:t>
      </w:r>
      <w:r>
        <w:rPr>
          <w:rFonts w:hint="eastAsia" w:ascii="仿宋" w:hAnsi="仿宋" w:eastAsia="仿宋" w:cs="仿宋"/>
          <w:b w:val="0"/>
          <w:bCs w:val="0"/>
          <w:sz w:val="28"/>
          <w:szCs w:val="28"/>
        </w:rPr>
        <w:t>学分</w:t>
      </w:r>
      <w:r>
        <w:rPr>
          <w:rFonts w:hint="eastAsia" w:ascii="仿宋" w:hAnsi="仿宋" w:eastAsia="仿宋" w:cs="仿宋"/>
          <w:b w:val="0"/>
          <w:bCs w:val="0"/>
          <w:sz w:val="28"/>
          <w:szCs w:val="28"/>
          <w:lang w:eastAsia="zh-CN"/>
        </w:rPr>
        <w:t>。</w:t>
      </w:r>
    </w:p>
    <w:p w14:paraId="5EC28747">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三</w:t>
      </w:r>
      <w:r>
        <w:rPr>
          <w:rFonts w:hint="eastAsia" w:ascii="仿宋" w:hAnsi="仿宋" w:eastAsia="仿宋" w:cs="仿宋"/>
          <w:b w:val="0"/>
          <w:bCs w:val="0"/>
          <w:sz w:val="28"/>
          <w:szCs w:val="28"/>
        </w:rPr>
        <w:t>）收费标准：</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00元/分，合计</w:t>
      </w:r>
      <w:r>
        <w:rPr>
          <w:rFonts w:hint="eastAsia" w:ascii="仿宋" w:hAnsi="仿宋" w:eastAsia="仿宋" w:cs="仿宋"/>
          <w:b w:val="0"/>
          <w:bCs w:val="0"/>
          <w:sz w:val="28"/>
          <w:szCs w:val="28"/>
          <w:lang w:val="en-US" w:eastAsia="zh-CN"/>
        </w:rPr>
        <w:t>2600</w:t>
      </w:r>
      <w:r>
        <w:rPr>
          <w:rFonts w:hint="eastAsia" w:ascii="仿宋" w:hAnsi="仿宋" w:eastAsia="仿宋" w:cs="仿宋"/>
          <w:b w:val="0"/>
          <w:bCs w:val="0"/>
          <w:sz w:val="28"/>
          <w:szCs w:val="28"/>
        </w:rPr>
        <w:t>元</w:t>
      </w:r>
      <w:r>
        <w:rPr>
          <w:rFonts w:hint="eastAsia" w:ascii="仿宋" w:hAnsi="仿宋" w:eastAsia="仿宋" w:cs="仿宋"/>
          <w:b w:val="0"/>
          <w:bCs w:val="0"/>
          <w:sz w:val="28"/>
          <w:szCs w:val="28"/>
          <w:lang w:eastAsia="zh-CN"/>
        </w:rPr>
        <w:t>。</w:t>
      </w:r>
    </w:p>
    <w:p w14:paraId="6F53320F">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四</w:t>
      </w:r>
      <w:r>
        <w:rPr>
          <w:rFonts w:hint="eastAsia" w:ascii="仿宋" w:hAnsi="仿宋" w:eastAsia="仿宋" w:cs="仿宋"/>
          <w:b w:val="0"/>
          <w:bCs w:val="0"/>
          <w:sz w:val="28"/>
          <w:szCs w:val="28"/>
        </w:rPr>
        <w:t>）授课方式：单独编班、单独组织实施教学活动，教学时间一般安排在周</w:t>
      </w:r>
      <w:r>
        <w:rPr>
          <w:rFonts w:hint="eastAsia" w:ascii="仿宋" w:hAnsi="仿宋" w:eastAsia="仿宋" w:cs="仿宋"/>
          <w:b w:val="0"/>
          <w:bCs w:val="0"/>
          <w:sz w:val="28"/>
          <w:szCs w:val="28"/>
          <w:lang w:val="en-US" w:eastAsia="zh-CN"/>
        </w:rPr>
        <w:t>三下午或周末</w:t>
      </w:r>
      <w:r>
        <w:rPr>
          <w:rFonts w:hint="eastAsia" w:ascii="仿宋" w:hAnsi="仿宋" w:eastAsia="仿宋" w:cs="仿宋"/>
          <w:b w:val="0"/>
          <w:bCs w:val="0"/>
          <w:sz w:val="28"/>
          <w:szCs w:val="28"/>
        </w:rPr>
        <w:t>。微专业原则上20人以上方可开班，招生人数不到20人的微专业，当年度取消开设。</w:t>
      </w:r>
    </w:p>
    <w:p w14:paraId="3220F4AB">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、学分认定与证书授予</w:t>
      </w:r>
    </w:p>
    <w:p w14:paraId="343DFF24">
      <w:pPr>
        <w:ind w:firstLine="560" w:firstLineChars="200"/>
        <w:rPr>
          <w:rFonts w:hint="eastAsia" w:ascii="仿宋" w:hAnsi="仿宋" w:eastAsia="仿宋" w:cs="仿宋"/>
          <w:sz w:val="28"/>
          <w:szCs w:val="28"/>
        </w:rPr>
      </w:pPr>
      <w:r>
        <w:rPr>
          <w:rFonts w:hint="eastAsia" w:ascii="仿宋" w:hAnsi="仿宋" w:eastAsia="仿宋" w:cs="仿宋"/>
          <w:sz w:val="28"/>
          <w:szCs w:val="28"/>
        </w:rPr>
        <w:t>学生完成微专业培养方案规定的课程并达到学习要求，由微专业所在学院审核后提出结业名单，报教务处备案，由教务处统一颁发结业证书和成绩单；微专业是非学历教育，不在中国高等教育学生信息网备注信息，不授予学位。如未按培养计划完成微专业修读，已修读的微专业课程学分可替代通识选修课学分。</w:t>
      </w:r>
    </w:p>
    <w:p w14:paraId="5D730674">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课程设置及学时分配表</w:t>
      </w:r>
    </w:p>
    <w:tbl>
      <w:tblPr>
        <w:tblStyle w:val="7"/>
        <w:tblW w:w="7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37"/>
        <w:gridCol w:w="788"/>
        <w:gridCol w:w="900"/>
        <w:gridCol w:w="1369"/>
      </w:tblGrid>
      <w:tr w14:paraId="5574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0EA0613C">
            <w:pPr>
              <w:jc w:val="center"/>
              <w:rPr>
                <w:rFonts w:ascii="微软雅黑" w:hAnsi="微软雅黑" w:eastAsia="微软雅黑" w:cs="微软雅黑"/>
                <w:b/>
                <w:bCs/>
                <w:szCs w:val="21"/>
              </w:rPr>
            </w:pPr>
            <w:r>
              <w:rPr>
                <w:rFonts w:hint="eastAsia" w:ascii="微软雅黑" w:hAnsi="微软雅黑" w:eastAsia="微软雅黑" w:cs="微软雅黑"/>
                <w:b/>
                <w:bCs/>
                <w:szCs w:val="21"/>
              </w:rPr>
              <w:t>序号</w:t>
            </w:r>
          </w:p>
        </w:tc>
        <w:tc>
          <w:tcPr>
            <w:tcW w:w="3337" w:type="dxa"/>
            <w:vAlign w:val="center"/>
          </w:tcPr>
          <w:p w14:paraId="39BEEAC0">
            <w:pPr>
              <w:jc w:val="center"/>
              <w:rPr>
                <w:rFonts w:ascii="微软雅黑" w:hAnsi="微软雅黑" w:eastAsia="微软雅黑" w:cs="微软雅黑"/>
                <w:b/>
                <w:bCs/>
                <w:szCs w:val="21"/>
              </w:rPr>
            </w:pPr>
            <w:r>
              <w:rPr>
                <w:rFonts w:hint="eastAsia" w:ascii="微软雅黑" w:hAnsi="微软雅黑" w:eastAsia="微软雅黑" w:cs="微软雅黑"/>
                <w:b/>
                <w:bCs/>
                <w:szCs w:val="21"/>
              </w:rPr>
              <w:t>课程名称</w:t>
            </w:r>
          </w:p>
        </w:tc>
        <w:tc>
          <w:tcPr>
            <w:tcW w:w="788" w:type="dxa"/>
            <w:vAlign w:val="center"/>
          </w:tcPr>
          <w:p w14:paraId="6C40AB2D">
            <w:pPr>
              <w:jc w:val="center"/>
              <w:rPr>
                <w:rFonts w:ascii="微软雅黑" w:hAnsi="微软雅黑" w:eastAsia="微软雅黑" w:cs="微软雅黑"/>
                <w:b/>
                <w:bCs/>
                <w:szCs w:val="21"/>
              </w:rPr>
            </w:pPr>
            <w:r>
              <w:rPr>
                <w:rFonts w:hint="eastAsia" w:ascii="微软雅黑" w:hAnsi="微软雅黑" w:eastAsia="微软雅黑" w:cs="微软雅黑"/>
                <w:b/>
                <w:bCs/>
                <w:szCs w:val="21"/>
              </w:rPr>
              <w:t>学分</w:t>
            </w:r>
          </w:p>
        </w:tc>
        <w:tc>
          <w:tcPr>
            <w:tcW w:w="900" w:type="dxa"/>
            <w:vAlign w:val="center"/>
          </w:tcPr>
          <w:p w14:paraId="07F3DEFA">
            <w:pPr>
              <w:jc w:val="center"/>
              <w:rPr>
                <w:rFonts w:ascii="微软雅黑" w:hAnsi="微软雅黑" w:eastAsia="微软雅黑" w:cs="微软雅黑"/>
                <w:b/>
                <w:bCs/>
                <w:szCs w:val="21"/>
              </w:rPr>
            </w:pPr>
            <w:r>
              <w:rPr>
                <w:rFonts w:hint="eastAsia" w:ascii="微软雅黑" w:hAnsi="微软雅黑" w:eastAsia="微软雅黑" w:cs="微软雅黑"/>
                <w:b/>
                <w:bCs/>
                <w:szCs w:val="21"/>
              </w:rPr>
              <w:t>学时</w:t>
            </w:r>
          </w:p>
        </w:tc>
        <w:tc>
          <w:tcPr>
            <w:tcW w:w="1369" w:type="dxa"/>
            <w:vAlign w:val="center"/>
          </w:tcPr>
          <w:p w14:paraId="31BDD997">
            <w:pPr>
              <w:jc w:val="center"/>
              <w:rPr>
                <w:rFonts w:ascii="微软雅黑" w:hAnsi="微软雅黑" w:eastAsia="微软雅黑" w:cs="微软雅黑"/>
                <w:b/>
                <w:bCs/>
                <w:szCs w:val="21"/>
              </w:rPr>
            </w:pPr>
            <w:r>
              <w:rPr>
                <w:rFonts w:hint="eastAsia" w:ascii="微软雅黑" w:hAnsi="微软雅黑" w:eastAsia="微软雅黑" w:cs="微软雅黑"/>
                <w:b/>
                <w:bCs/>
                <w:szCs w:val="21"/>
              </w:rPr>
              <w:t>开设学期</w:t>
            </w:r>
          </w:p>
        </w:tc>
      </w:tr>
      <w:tr w14:paraId="28D6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844" w:type="dxa"/>
            <w:vAlign w:val="center"/>
          </w:tcPr>
          <w:p w14:paraId="7138863A">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3337" w:type="dxa"/>
            <w:vAlign w:val="center"/>
          </w:tcPr>
          <w:p w14:paraId="20824281">
            <w:pPr>
              <w:jc w:val="center"/>
              <w:rPr>
                <w:rFonts w:ascii="宋体" w:hAnsi="宋体" w:eastAsia="宋体"/>
                <w:szCs w:val="21"/>
              </w:rPr>
            </w:pPr>
            <w:r>
              <w:rPr>
                <w:rFonts w:hint="eastAsia" w:ascii="宋体" w:hAnsi="宋体" w:cs="宋体"/>
                <w:szCs w:val="21"/>
              </w:rPr>
              <w:t>行政职业能力</w:t>
            </w:r>
          </w:p>
        </w:tc>
        <w:tc>
          <w:tcPr>
            <w:tcW w:w="788" w:type="dxa"/>
            <w:vAlign w:val="center"/>
          </w:tcPr>
          <w:p w14:paraId="403E03D7">
            <w:pPr>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900" w:type="dxa"/>
            <w:vAlign w:val="center"/>
          </w:tcPr>
          <w:p w14:paraId="262612B1">
            <w:pPr>
              <w:jc w:val="center"/>
              <w:rPr>
                <w:rFonts w:hint="default" w:ascii="宋体" w:hAnsi="宋体" w:eastAsia="宋体"/>
                <w:szCs w:val="21"/>
                <w:lang w:val="en-US" w:eastAsia="zh-CN"/>
              </w:rPr>
            </w:pPr>
            <w:r>
              <w:rPr>
                <w:rFonts w:hint="eastAsia" w:ascii="宋体" w:hAnsi="宋体" w:eastAsia="宋体"/>
                <w:szCs w:val="21"/>
                <w:lang w:val="en-US" w:eastAsia="zh-CN"/>
              </w:rPr>
              <w:t>48</w:t>
            </w:r>
          </w:p>
        </w:tc>
        <w:tc>
          <w:tcPr>
            <w:tcW w:w="1369" w:type="dxa"/>
            <w:vAlign w:val="center"/>
          </w:tcPr>
          <w:p w14:paraId="1DA7E400">
            <w:pPr>
              <w:jc w:val="center"/>
              <w:rPr>
                <w:rFonts w:hint="default" w:ascii="宋体" w:hAnsi="宋体" w:eastAsia="宋体"/>
                <w:szCs w:val="21"/>
                <w:lang w:val="en-US" w:eastAsia="zh-CN"/>
              </w:rPr>
            </w:pPr>
            <w:r>
              <w:rPr>
                <w:rFonts w:hint="eastAsia" w:ascii="宋体" w:hAnsi="宋体" w:eastAsia="宋体"/>
                <w:szCs w:val="21"/>
                <w:lang w:val="en-US" w:eastAsia="zh-CN"/>
              </w:rPr>
              <w:t>春季学期</w:t>
            </w:r>
          </w:p>
        </w:tc>
      </w:tr>
      <w:tr w14:paraId="0E45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369B3DAD">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3337" w:type="dxa"/>
            <w:vAlign w:val="center"/>
          </w:tcPr>
          <w:p w14:paraId="7C99F5D4">
            <w:pPr>
              <w:jc w:val="center"/>
              <w:rPr>
                <w:rFonts w:ascii="宋体" w:hAnsi="宋体" w:eastAsia="宋体"/>
                <w:szCs w:val="21"/>
              </w:rPr>
            </w:pPr>
            <w:r>
              <w:rPr>
                <w:rFonts w:hint="eastAsia" w:ascii="宋体" w:hAnsi="宋体" w:cs="宋体"/>
                <w:szCs w:val="21"/>
              </w:rPr>
              <w:t>申论与公文写作</w:t>
            </w:r>
          </w:p>
        </w:tc>
        <w:tc>
          <w:tcPr>
            <w:tcW w:w="788" w:type="dxa"/>
            <w:vAlign w:val="center"/>
          </w:tcPr>
          <w:p w14:paraId="3978BA01">
            <w:pPr>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900" w:type="dxa"/>
            <w:vAlign w:val="center"/>
          </w:tcPr>
          <w:p w14:paraId="67849918">
            <w:pPr>
              <w:jc w:val="center"/>
              <w:rPr>
                <w:rFonts w:hint="default" w:ascii="宋体" w:hAnsi="宋体" w:eastAsia="宋体"/>
                <w:szCs w:val="21"/>
                <w:lang w:val="en-US" w:eastAsia="zh-CN"/>
              </w:rPr>
            </w:pPr>
            <w:r>
              <w:rPr>
                <w:rFonts w:hint="eastAsia" w:ascii="宋体" w:hAnsi="宋体" w:eastAsia="宋体"/>
                <w:szCs w:val="21"/>
                <w:lang w:val="en-US" w:eastAsia="zh-CN"/>
              </w:rPr>
              <w:t>48</w:t>
            </w:r>
          </w:p>
        </w:tc>
        <w:tc>
          <w:tcPr>
            <w:tcW w:w="1369" w:type="dxa"/>
            <w:vAlign w:val="center"/>
          </w:tcPr>
          <w:p w14:paraId="64F21AAA">
            <w:pPr>
              <w:jc w:val="center"/>
              <w:rPr>
                <w:rFonts w:hint="eastAsia" w:ascii="宋体" w:hAnsi="宋体" w:eastAsia="宋体"/>
                <w:szCs w:val="21"/>
                <w:lang w:val="en-US" w:eastAsia="zh-CN"/>
              </w:rPr>
            </w:pPr>
            <w:r>
              <w:rPr>
                <w:rFonts w:hint="eastAsia" w:ascii="宋体" w:hAnsi="宋体" w:eastAsia="宋体"/>
                <w:szCs w:val="21"/>
                <w:lang w:val="en-US" w:eastAsia="zh-CN"/>
              </w:rPr>
              <w:t>春季学期</w:t>
            </w:r>
          </w:p>
        </w:tc>
      </w:tr>
      <w:tr w14:paraId="3A1E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1CAFFD1A">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3</w:t>
            </w:r>
          </w:p>
        </w:tc>
        <w:tc>
          <w:tcPr>
            <w:tcW w:w="3337" w:type="dxa"/>
            <w:vAlign w:val="center"/>
          </w:tcPr>
          <w:p w14:paraId="268D8A8A">
            <w:pPr>
              <w:jc w:val="center"/>
              <w:rPr>
                <w:rFonts w:ascii="宋体" w:hAnsi="宋体" w:eastAsia="宋体"/>
                <w:szCs w:val="21"/>
              </w:rPr>
            </w:pPr>
            <w:r>
              <w:rPr>
                <w:rFonts w:hint="eastAsia" w:ascii="宋体" w:hAnsi="宋体" w:cs="宋体"/>
                <w:szCs w:val="21"/>
              </w:rPr>
              <w:t>公务员面试与沟通</w:t>
            </w:r>
          </w:p>
        </w:tc>
        <w:tc>
          <w:tcPr>
            <w:tcW w:w="788" w:type="dxa"/>
            <w:vAlign w:val="center"/>
          </w:tcPr>
          <w:p w14:paraId="1F089D89">
            <w:pPr>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900" w:type="dxa"/>
            <w:vAlign w:val="center"/>
          </w:tcPr>
          <w:p w14:paraId="28905C99">
            <w:pPr>
              <w:jc w:val="center"/>
              <w:rPr>
                <w:rFonts w:hint="default" w:ascii="宋体" w:hAnsi="宋体" w:eastAsia="宋体"/>
                <w:szCs w:val="21"/>
                <w:lang w:val="en-US" w:eastAsia="zh-CN"/>
              </w:rPr>
            </w:pPr>
            <w:r>
              <w:rPr>
                <w:rFonts w:hint="eastAsia" w:ascii="宋体" w:hAnsi="宋体" w:eastAsia="宋体"/>
                <w:szCs w:val="21"/>
                <w:lang w:val="en-US" w:eastAsia="zh-CN"/>
              </w:rPr>
              <w:t>32</w:t>
            </w:r>
          </w:p>
        </w:tc>
        <w:tc>
          <w:tcPr>
            <w:tcW w:w="1369" w:type="dxa"/>
            <w:vAlign w:val="center"/>
          </w:tcPr>
          <w:p w14:paraId="453D2C87">
            <w:pPr>
              <w:jc w:val="center"/>
              <w:rPr>
                <w:rFonts w:hint="default" w:ascii="宋体" w:hAnsi="宋体" w:eastAsia="宋体"/>
                <w:szCs w:val="21"/>
                <w:lang w:val="en-US" w:eastAsia="zh-CN"/>
              </w:rPr>
            </w:pPr>
            <w:r>
              <w:rPr>
                <w:rFonts w:hint="eastAsia" w:ascii="宋体" w:hAnsi="宋体" w:eastAsia="宋体"/>
                <w:szCs w:val="21"/>
                <w:lang w:val="en-US" w:eastAsia="zh-CN"/>
              </w:rPr>
              <w:t>秋季学期</w:t>
            </w:r>
          </w:p>
        </w:tc>
      </w:tr>
      <w:tr w14:paraId="432F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4322CA0E">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4</w:t>
            </w:r>
          </w:p>
        </w:tc>
        <w:tc>
          <w:tcPr>
            <w:tcW w:w="3337" w:type="dxa"/>
            <w:vAlign w:val="center"/>
          </w:tcPr>
          <w:p w14:paraId="28AE57ED">
            <w:pPr>
              <w:jc w:val="center"/>
              <w:rPr>
                <w:rFonts w:ascii="宋体" w:hAnsi="宋体" w:eastAsia="宋体"/>
                <w:szCs w:val="21"/>
              </w:rPr>
            </w:pPr>
            <w:r>
              <w:rPr>
                <w:rFonts w:hint="eastAsia" w:ascii="宋体" w:hAnsi="宋体" w:cs="宋体"/>
                <w:szCs w:val="21"/>
              </w:rPr>
              <w:t>公务员人文素养</w:t>
            </w:r>
          </w:p>
        </w:tc>
        <w:tc>
          <w:tcPr>
            <w:tcW w:w="788" w:type="dxa"/>
            <w:vAlign w:val="center"/>
          </w:tcPr>
          <w:p w14:paraId="436FD499">
            <w:pPr>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900" w:type="dxa"/>
            <w:vAlign w:val="center"/>
          </w:tcPr>
          <w:p w14:paraId="343BBF95">
            <w:pPr>
              <w:jc w:val="center"/>
              <w:rPr>
                <w:rFonts w:hint="default" w:ascii="宋体" w:hAnsi="宋体" w:eastAsia="宋体"/>
                <w:szCs w:val="21"/>
                <w:lang w:val="en-US" w:eastAsia="zh-CN"/>
              </w:rPr>
            </w:pPr>
            <w:r>
              <w:rPr>
                <w:rFonts w:hint="eastAsia" w:ascii="宋体" w:hAnsi="宋体" w:eastAsia="宋体"/>
                <w:szCs w:val="21"/>
                <w:lang w:val="en-US" w:eastAsia="zh-CN"/>
              </w:rPr>
              <w:t>24</w:t>
            </w:r>
          </w:p>
        </w:tc>
        <w:tc>
          <w:tcPr>
            <w:tcW w:w="1369" w:type="dxa"/>
            <w:vAlign w:val="center"/>
          </w:tcPr>
          <w:p w14:paraId="73319456">
            <w:pPr>
              <w:jc w:val="center"/>
              <w:rPr>
                <w:rFonts w:hint="eastAsia" w:ascii="宋体" w:hAnsi="宋体" w:eastAsia="宋体"/>
                <w:szCs w:val="21"/>
                <w:lang w:val="en-US" w:eastAsia="zh-CN"/>
              </w:rPr>
            </w:pPr>
            <w:r>
              <w:rPr>
                <w:rFonts w:hint="eastAsia" w:ascii="宋体" w:hAnsi="宋体" w:eastAsia="宋体"/>
                <w:szCs w:val="21"/>
                <w:lang w:val="en-US" w:eastAsia="zh-CN"/>
              </w:rPr>
              <w:t>秋季学期</w:t>
            </w:r>
          </w:p>
        </w:tc>
      </w:tr>
      <w:tr w14:paraId="14BA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003BC971">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5</w:t>
            </w:r>
          </w:p>
        </w:tc>
        <w:tc>
          <w:tcPr>
            <w:tcW w:w="3337" w:type="dxa"/>
            <w:vAlign w:val="center"/>
          </w:tcPr>
          <w:p w14:paraId="10ABB6AA">
            <w:pPr>
              <w:jc w:val="center"/>
              <w:rPr>
                <w:rFonts w:ascii="微软雅黑" w:hAnsi="微软雅黑" w:eastAsia="微软雅黑" w:cs="微软雅黑"/>
                <w:szCs w:val="21"/>
              </w:rPr>
            </w:pPr>
            <w:r>
              <w:rPr>
                <w:rFonts w:hint="eastAsia" w:ascii="宋体" w:hAnsi="宋体" w:cs="宋体"/>
                <w:szCs w:val="21"/>
              </w:rPr>
              <w:t>公务员法治素养</w:t>
            </w:r>
          </w:p>
        </w:tc>
        <w:tc>
          <w:tcPr>
            <w:tcW w:w="788" w:type="dxa"/>
            <w:vAlign w:val="center"/>
          </w:tcPr>
          <w:p w14:paraId="268B5D98">
            <w:pPr>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900" w:type="dxa"/>
            <w:vAlign w:val="center"/>
          </w:tcPr>
          <w:p w14:paraId="4B925D27">
            <w:pPr>
              <w:jc w:val="center"/>
              <w:rPr>
                <w:rFonts w:hint="default" w:ascii="宋体" w:hAnsi="宋体" w:eastAsia="宋体"/>
                <w:szCs w:val="21"/>
                <w:lang w:val="en-US" w:eastAsia="zh-CN"/>
              </w:rPr>
            </w:pPr>
            <w:r>
              <w:rPr>
                <w:rFonts w:hint="eastAsia" w:ascii="宋体" w:hAnsi="宋体" w:eastAsia="宋体"/>
                <w:szCs w:val="21"/>
                <w:lang w:val="en-US" w:eastAsia="zh-CN"/>
              </w:rPr>
              <w:t>24</w:t>
            </w:r>
          </w:p>
        </w:tc>
        <w:tc>
          <w:tcPr>
            <w:tcW w:w="1369" w:type="dxa"/>
            <w:vAlign w:val="center"/>
          </w:tcPr>
          <w:p w14:paraId="490C716A">
            <w:pPr>
              <w:jc w:val="center"/>
              <w:rPr>
                <w:rFonts w:hint="eastAsia" w:ascii="宋体" w:hAnsi="宋体" w:eastAsia="宋体"/>
                <w:szCs w:val="21"/>
                <w:lang w:val="en-US" w:eastAsia="zh-CN"/>
              </w:rPr>
            </w:pPr>
            <w:r>
              <w:rPr>
                <w:rFonts w:hint="eastAsia" w:ascii="宋体" w:hAnsi="宋体" w:eastAsia="宋体"/>
                <w:szCs w:val="21"/>
                <w:lang w:val="en-US" w:eastAsia="zh-CN"/>
              </w:rPr>
              <w:t>秋季学期</w:t>
            </w:r>
          </w:p>
        </w:tc>
      </w:tr>
      <w:tr w14:paraId="0EB1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7F0C9D50">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6</w:t>
            </w:r>
          </w:p>
        </w:tc>
        <w:tc>
          <w:tcPr>
            <w:tcW w:w="3337" w:type="dxa"/>
            <w:vAlign w:val="center"/>
          </w:tcPr>
          <w:p w14:paraId="21FC0B10">
            <w:pPr>
              <w:jc w:val="center"/>
              <w:rPr>
                <w:rFonts w:hint="default" w:ascii="微软雅黑" w:hAnsi="微软雅黑" w:cs="微软雅黑" w:eastAsiaTheme="minorEastAsia"/>
                <w:szCs w:val="21"/>
                <w:lang w:val="en-US" w:eastAsia="zh-CN"/>
              </w:rPr>
            </w:pPr>
            <w:r>
              <w:rPr>
                <w:rFonts w:hint="eastAsia" w:ascii="宋体" w:hAnsi="宋体" w:cs="宋体"/>
                <w:szCs w:val="21"/>
              </w:rPr>
              <w:t>公务员媒介素养</w:t>
            </w:r>
            <w:r>
              <w:rPr>
                <w:rFonts w:hint="eastAsia" w:ascii="宋体" w:hAnsi="宋体" w:cs="宋体"/>
                <w:szCs w:val="21"/>
                <w:lang w:val="en-US" w:eastAsia="zh-CN"/>
              </w:rPr>
              <w:t>与社情调查</w:t>
            </w:r>
          </w:p>
        </w:tc>
        <w:tc>
          <w:tcPr>
            <w:tcW w:w="788" w:type="dxa"/>
            <w:vAlign w:val="center"/>
          </w:tcPr>
          <w:p w14:paraId="5D41282C">
            <w:pPr>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900" w:type="dxa"/>
            <w:vAlign w:val="center"/>
          </w:tcPr>
          <w:p w14:paraId="27AF0524">
            <w:pPr>
              <w:jc w:val="center"/>
              <w:rPr>
                <w:rFonts w:hint="default" w:ascii="宋体" w:hAnsi="宋体" w:eastAsia="宋体"/>
                <w:szCs w:val="21"/>
                <w:lang w:val="en-US" w:eastAsia="zh-CN"/>
              </w:rPr>
            </w:pPr>
            <w:r>
              <w:rPr>
                <w:rFonts w:hint="eastAsia" w:ascii="宋体" w:hAnsi="宋体" w:eastAsia="宋体"/>
                <w:szCs w:val="21"/>
                <w:lang w:val="en-US" w:eastAsia="zh-CN"/>
              </w:rPr>
              <w:t>24</w:t>
            </w:r>
          </w:p>
        </w:tc>
        <w:tc>
          <w:tcPr>
            <w:tcW w:w="1369" w:type="dxa"/>
            <w:vAlign w:val="center"/>
          </w:tcPr>
          <w:p w14:paraId="0064F1CD">
            <w:pPr>
              <w:jc w:val="center"/>
              <w:rPr>
                <w:rFonts w:hint="eastAsia" w:ascii="宋体" w:hAnsi="宋体" w:eastAsia="宋体"/>
                <w:szCs w:val="21"/>
                <w:lang w:val="en-US" w:eastAsia="zh-CN"/>
              </w:rPr>
            </w:pPr>
            <w:r>
              <w:rPr>
                <w:rFonts w:hint="eastAsia" w:ascii="宋体" w:hAnsi="宋体" w:eastAsia="宋体"/>
                <w:szCs w:val="21"/>
                <w:lang w:val="en-US" w:eastAsia="zh-CN"/>
              </w:rPr>
              <w:t>秋季学期</w:t>
            </w:r>
          </w:p>
        </w:tc>
      </w:tr>
    </w:tbl>
    <w:p w14:paraId="7987D1C5">
      <w:pPr>
        <w:ind w:firstLine="562" w:firstLineChars="200"/>
        <w:rPr>
          <w:rFonts w:hint="eastAsia" w:ascii="仿宋" w:hAnsi="仿宋" w:eastAsia="仿宋" w:cs="仿宋"/>
          <w:sz w:val="28"/>
          <w:szCs w:val="28"/>
        </w:rPr>
      </w:pPr>
      <w:r>
        <w:rPr>
          <w:rFonts w:hint="eastAsia" w:ascii="仿宋" w:hAnsi="仿宋" w:eastAsia="仿宋" w:cs="仿宋"/>
          <w:b/>
          <w:bCs/>
          <w:sz w:val="28"/>
          <w:szCs w:val="28"/>
        </w:rPr>
        <w:t>五、报名程序</w:t>
      </w:r>
    </w:p>
    <w:p w14:paraId="0A228CCE">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有意报名的同学</w:t>
      </w:r>
      <w:r>
        <w:rPr>
          <w:rFonts w:hint="eastAsia" w:ascii="仿宋" w:hAnsi="仿宋" w:eastAsia="仿宋" w:cs="仿宋"/>
          <w:sz w:val="28"/>
          <w:szCs w:val="28"/>
          <w:lang w:val="en-US" w:eastAsia="zh-CN"/>
        </w:rPr>
        <w:t>请</w:t>
      </w:r>
      <w:r>
        <w:rPr>
          <w:rFonts w:hint="eastAsia" w:ascii="仿宋" w:hAnsi="仿宋" w:eastAsia="仿宋" w:cs="仿宋"/>
          <w:sz w:val="28"/>
          <w:szCs w:val="28"/>
          <w:lang w:eastAsia="zh-CN"/>
        </w:rPr>
        <w:t>下载填写《微专业报名信息表》，</w:t>
      </w:r>
      <w:r>
        <w:rPr>
          <w:rFonts w:hint="eastAsia" w:ascii="仿宋" w:hAnsi="仿宋" w:eastAsia="仿宋" w:cs="仿宋"/>
          <w:sz w:val="28"/>
          <w:szCs w:val="28"/>
          <w:lang w:val="en-US" w:eastAsia="zh-CN"/>
        </w:rPr>
        <w:t>2025年3月10日17：00前将经所在学院审核签字的报名表拍照后连同Word版电子档一起发送至258168973@qq.com。咨询电话</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蔡老师：027-88426328，夏老师：027-88426440。</w:t>
      </w:r>
    </w:p>
    <w:p w14:paraId="7409BE1C">
      <w:pPr>
        <w:ind w:firstLine="560" w:firstLineChars="200"/>
        <w:rPr>
          <w:rFonts w:hint="eastAsia" w:ascii="仿宋" w:hAnsi="仿宋" w:eastAsia="仿宋" w:cs="仿宋"/>
          <w:sz w:val="28"/>
          <w:szCs w:val="28"/>
        </w:rPr>
      </w:pPr>
      <w:r>
        <w:rPr>
          <w:rFonts w:hint="eastAsia" w:ascii="仿宋" w:hAnsi="仿宋" w:eastAsia="仿宋" w:cs="仿宋"/>
          <w:sz w:val="28"/>
          <w:szCs w:val="28"/>
        </w:rPr>
        <w:t>本次报名工作结束后，不再接受任何形式的补报名，请各位学生在规定时间内及时报名。</w:t>
      </w:r>
    </w:p>
    <w:p w14:paraId="78C7FBBD">
      <w:pPr>
        <w:rPr>
          <w:rFonts w:hint="eastAsia" w:ascii="仿宋" w:hAnsi="仿宋" w:eastAsia="仿宋" w:cs="仿宋"/>
          <w:sz w:val="28"/>
          <w:szCs w:val="28"/>
        </w:rPr>
      </w:pPr>
    </w:p>
    <w:p w14:paraId="2534A787">
      <w:pPr>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bookmarkStart w:id="0" w:name="_GoBack"/>
      <w:bookmarkEnd w:id="0"/>
      <w:r>
        <w:rPr>
          <w:rFonts w:hint="eastAsia" w:ascii="仿宋" w:hAnsi="仿宋" w:eastAsia="仿宋" w:cs="仿宋"/>
          <w:sz w:val="28"/>
          <w:szCs w:val="28"/>
          <w:lang w:val="en-US" w:eastAsia="zh-CN"/>
        </w:rPr>
        <w:t>武昌首义学院</w:t>
      </w:r>
    </w:p>
    <w:p w14:paraId="1C8585DB">
      <w:pPr>
        <w:jc w:val="center"/>
        <w:rPr>
          <w:rFonts w:hint="eastAsia" w:ascii="仿宋" w:hAnsi="仿宋" w:eastAsia="仿宋" w:cs="仿宋"/>
          <w:sz w:val="28"/>
          <w:szCs w:val="28"/>
        </w:rPr>
      </w:pPr>
      <w:r>
        <w:rPr>
          <w:rFonts w:hint="eastAsia" w:ascii="仿宋" w:hAnsi="仿宋" w:eastAsia="仿宋" w:cs="仿宋"/>
          <w:sz w:val="28"/>
          <w:szCs w:val="28"/>
          <w:lang w:val="en-US" w:eastAsia="zh-CN"/>
        </w:rPr>
        <w:t xml:space="preserve">                                   2024</w:t>
      </w:r>
      <w:r>
        <w:rPr>
          <w:rFonts w:hint="eastAsia" w:ascii="仿宋" w:hAnsi="仿宋" w:eastAsia="仿宋" w:cs="仿宋"/>
          <w:sz w:val="28"/>
          <w:szCs w:val="28"/>
        </w:rPr>
        <w:t>年</w:t>
      </w:r>
      <w:r>
        <w:rPr>
          <w:rFonts w:hint="eastAsia" w:ascii="仿宋" w:hAnsi="仿宋" w:eastAsia="仿宋" w:cs="仿宋"/>
          <w:sz w:val="28"/>
          <w:szCs w:val="28"/>
          <w:lang w:val="en-US" w:eastAsia="zh-CN"/>
        </w:rPr>
        <w:t>12</w:t>
      </w:r>
      <w:r>
        <w:rPr>
          <w:rFonts w:hint="eastAsia" w:ascii="仿宋" w:hAnsi="仿宋" w:eastAsia="仿宋" w:cs="仿宋"/>
          <w:sz w:val="28"/>
          <w:szCs w:val="28"/>
        </w:rPr>
        <w:t>月</w:t>
      </w:r>
      <w:r>
        <w:rPr>
          <w:rFonts w:hint="eastAsia" w:ascii="仿宋" w:hAnsi="仿宋" w:eastAsia="仿宋" w:cs="仿宋"/>
          <w:sz w:val="28"/>
          <w:szCs w:val="28"/>
          <w:lang w:val="en-US" w:eastAsia="zh-CN"/>
        </w:rPr>
        <w:t>18</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2C0"/>
    <w:rsid w:val="002E34CD"/>
    <w:rsid w:val="003C52C0"/>
    <w:rsid w:val="00492C6F"/>
    <w:rsid w:val="00706086"/>
    <w:rsid w:val="03F97151"/>
    <w:rsid w:val="0A96708F"/>
    <w:rsid w:val="0B3F3DB4"/>
    <w:rsid w:val="22B41D95"/>
    <w:rsid w:val="29F7299F"/>
    <w:rsid w:val="2E1D349F"/>
    <w:rsid w:val="2EA44A66"/>
    <w:rsid w:val="31B36EE8"/>
    <w:rsid w:val="3456664F"/>
    <w:rsid w:val="383277B3"/>
    <w:rsid w:val="38D3252E"/>
    <w:rsid w:val="3AD74C5C"/>
    <w:rsid w:val="403420D5"/>
    <w:rsid w:val="46FF66FC"/>
    <w:rsid w:val="586D578C"/>
    <w:rsid w:val="5C7D20F2"/>
    <w:rsid w:val="63573FFC"/>
    <w:rsid w:val="663A7A43"/>
    <w:rsid w:val="77003384"/>
    <w:rsid w:val="7886429C"/>
    <w:rsid w:val="7A2A5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WSYU</Company>
  <Pages>4</Pages>
  <Words>1824</Words>
  <Characters>1905</Characters>
  <Lines>9</Lines>
  <Paragraphs>2</Paragraphs>
  <TotalTime>133</TotalTime>
  <ScaleCrop>false</ScaleCrop>
  <LinksUpToDate>false</LinksUpToDate>
  <CharactersWithSpaces>1947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2024-09-03T01:36:00Z</dcterms:created>
  <dc:creator>zhangxiaoju</dc:creator>
  <cp:lastModifiedBy>周自伦</cp:lastModifiedBy>
  <dcterms:modified xsi:type="dcterms:W3CDTF">2024-12-18T09:03:06Z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F2B8F54CE39446ADB4EC568A5564E760_13</vt:lpwstr>
  </property>
</Properties>
</file>