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769CD">
      <w:pPr>
        <w:jc w:val="center"/>
        <w:rPr>
          <w:rFonts w:ascii="Times New Roman" w:hAnsi="Times New Roman" w:eastAsia="仿宋_GB2312"/>
          <w:b/>
          <w:bCs/>
          <w:sz w:val="32"/>
          <w:szCs w:val="32"/>
        </w:rPr>
      </w:pPr>
      <w:r>
        <w:rPr>
          <w:rFonts w:ascii="Times New Roman" w:hAnsi="Times New Roman" w:eastAsia="仿宋_GB2312"/>
          <w:b/>
          <w:bCs/>
          <w:sz w:val="32"/>
          <w:szCs w:val="32"/>
        </w:rPr>
        <w:t>2023/2024学年度</w:t>
      </w:r>
    </w:p>
    <w:p w14:paraId="3CAF6903">
      <w:pPr>
        <w:jc w:val="center"/>
        <w:rPr>
          <w:rFonts w:ascii="Times New Roman" w:hAnsi="Times New Roman" w:eastAsia="仿宋_GB2312"/>
          <w:b/>
          <w:bCs/>
          <w:sz w:val="32"/>
          <w:szCs w:val="32"/>
        </w:rPr>
      </w:pPr>
      <w:r>
        <w:rPr>
          <w:rFonts w:ascii="Times New Roman" w:hAnsi="Times New Roman" w:eastAsia="仿宋_GB2312"/>
          <w:b/>
          <w:bCs/>
          <w:sz w:val="32"/>
          <w:szCs w:val="32"/>
        </w:rPr>
        <w:t>湖北省本科毕业论文 (设计) 抽检</w:t>
      </w:r>
    </w:p>
    <w:p w14:paraId="5A07276F">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“存在问题毕业论文”的全部“不合格”专家文字意见</w:t>
      </w:r>
    </w:p>
    <w:p w14:paraId="594FC357">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（全部）</w:t>
      </w:r>
    </w:p>
    <w:p w14:paraId="7190D255">
      <w:pPr>
        <w:jc w:val="left"/>
        <w:rPr>
          <w:rFonts w:ascii="Times New Roman" w:hAnsi="Times New Roman" w:eastAsia="仿宋_GB2312"/>
        </w:rPr>
      </w:pPr>
      <w:r>
        <w:rPr>
          <w:rFonts w:hint="eastAsia" w:ascii="Times New Roman" w:hAnsi="Times New Roman" w:eastAsia="仿宋_GB2312"/>
          <w:b/>
          <w:bCs/>
          <w:spacing w:val="-2"/>
          <w:position w:val="1"/>
          <w:sz w:val="28"/>
          <w:szCs w:val="28"/>
        </w:rPr>
        <w:t>单位代码及名称：</w:t>
      </w:r>
      <w:r>
        <w:rPr>
          <w:rFonts w:hint="eastAsia" w:ascii="Times New Roman" w:hAnsi="Times New Roman" w:eastAsia="仿宋_GB2312"/>
          <w:spacing w:val="-2"/>
          <w:position w:val="1"/>
          <w:sz w:val="28"/>
          <w:szCs w:val="28"/>
        </w:rPr>
        <w:t>12309|武昌首义学院</w:t>
      </w:r>
    </w:p>
    <w:p w14:paraId="3411060B">
      <w:pPr>
        <w:jc w:val="left"/>
        <w:rPr>
          <w:rFonts w:ascii="Times New Roman" w:hAnsi="Times New Roman" w:eastAsia="仿宋_GB2312"/>
          <w:spacing w:val="-2"/>
          <w:position w:val="1"/>
          <w:sz w:val="28"/>
          <w:szCs w:val="28"/>
        </w:rPr>
      </w:pPr>
      <w:r>
        <w:rPr>
          <w:rFonts w:hint="eastAsia" w:ascii="Times New Roman" w:hAnsi="Times New Roman" w:eastAsia="仿宋_GB2312"/>
          <w:b/>
          <w:bCs/>
          <w:spacing w:val="-2"/>
          <w:position w:val="1"/>
          <w:sz w:val="28"/>
          <w:szCs w:val="28"/>
        </w:rPr>
        <w:t>专业代码及名称：</w:t>
      </w:r>
      <w:r>
        <w:rPr>
          <w:rFonts w:hint="eastAsia" w:ascii="Times New Roman" w:hAnsi="Times New Roman" w:eastAsia="仿宋_GB2312"/>
          <w:spacing w:val="-2"/>
          <w:position w:val="1"/>
          <w:sz w:val="28"/>
          <w:szCs w:val="28"/>
        </w:rPr>
        <w:t>020301K|金融学</w:t>
      </w:r>
    </w:p>
    <w:p w14:paraId="01BA4D24">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学生学号：</w:t>
      </w:r>
      <w:r>
        <w:rPr>
          <w:rFonts w:hint="eastAsia" w:ascii="Times New Roman" w:hAnsi="Times New Roman" w:eastAsia="仿宋_GB2312"/>
          <w:spacing w:val="-2"/>
          <w:position w:val="1"/>
          <w:sz w:val="28"/>
          <w:szCs w:val="28"/>
        </w:rPr>
        <w:t>19420501151655</w:t>
      </w:r>
    </w:p>
    <w:p w14:paraId="6997EA5D">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学生姓名：</w:t>
      </w:r>
      <w:r>
        <w:rPr>
          <w:rFonts w:hint="eastAsia" w:ascii="Times New Roman" w:hAnsi="Times New Roman" w:eastAsia="仿宋_GB2312"/>
          <w:spacing w:val="-2"/>
          <w:position w:val="1"/>
          <w:sz w:val="28"/>
          <w:szCs w:val="28"/>
        </w:rPr>
        <w:t>李思龙</w:t>
      </w:r>
    </w:p>
    <w:p w14:paraId="683D2962">
      <w:pPr>
        <w:jc w:val="left"/>
        <w:rPr>
          <w:rFonts w:ascii="Times New Roman" w:hAnsi="Times New Roman" w:eastAsia="仿宋_GB2312"/>
        </w:rPr>
      </w:pPr>
      <w:r>
        <w:rPr>
          <w:rFonts w:hint="eastAsia" w:ascii="Times New Roman" w:hAnsi="Times New Roman" w:eastAsia="仿宋_GB2312"/>
          <w:b/>
          <w:bCs/>
          <w:spacing w:val="-2"/>
          <w:position w:val="1"/>
          <w:sz w:val="28"/>
          <w:szCs w:val="28"/>
        </w:rPr>
        <w:t>指导教师：</w:t>
      </w:r>
      <w:r>
        <w:rPr>
          <w:rFonts w:hint="eastAsia" w:ascii="Times New Roman" w:hAnsi="Times New Roman" w:eastAsia="仿宋_GB2312"/>
          <w:spacing w:val="-2"/>
          <w:position w:val="1"/>
          <w:sz w:val="28"/>
          <w:szCs w:val="28"/>
        </w:rPr>
        <w:t>霍芬</w:t>
      </w:r>
    </w:p>
    <w:p w14:paraId="7617CFAA">
      <w:pPr>
        <w:jc w:val="left"/>
        <w:rPr>
          <w:rFonts w:ascii="Times New Roman" w:hAnsi="Times New Roman" w:eastAsia="仿宋_GB2312"/>
        </w:rPr>
      </w:pPr>
      <w:r>
        <w:rPr>
          <w:rFonts w:hint="eastAsia" w:ascii="Times New Roman" w:hAnsi="Times New Roman" w:eastAsia="仿宋_GB2312"/>
          <w:b/>
          <w:bCs/>
          <w:spacing w:val="-2"/>
          <w:position w:val="1"/>
          <w:sz w:val="28"/>
          <w:szCs w:val="28"/>
        </w:rPr>
        <w:t>论文题目：</w:t>
      </w:r>
      <w:r>
        <w:rPr>
          <w:rFonts w:hint="eastAsia" w:ascii="Times New Roman" w:hAnsi="Times New Roman" w:eastAsia="仿宋_GB2312"/>
          <w:spacing w:val="-2"/>
          <w:position w:val="1"/>
          <w:sz w:val="28"/>
          <w:szCs w:val="28"/>
        </w:rPr>
        <w:t>中信银行个人理财业务发展问题及对策研究</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681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14:paraId="36962D46">
            <w:pPr>
              <w:rPr>
                <w:rFonts w:ascii="Times New Roman" w:hAnsi="Times New Roman" w:eastAsia="仿宋_GB2312"/>
                <w:b/>
                <w:bCs/>
              </w:rPr>
            </w:pPr>
            <w:r>
              <w:rPr>
                <w:rFonts w:hint="eastAsia" w:ascii="Times New Roman" w:hAnsi="Times New Roman" w:eastAsia="仿宋_GB2312" w:cs="黑体"/>
                <w:b/>
                <w:bCs/>
                <w:sz w:val="28"/>
                <w:szCs w:val="28"/>
              </w:rPr>
              <w:t>专家2</w:t>
            </w:r>
          </w:p>
        </w:tc>
      </w:tr>
      <w:tr w14:paraId="3979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14:paraId="474D99CD">
            <w:pPr>
              <w:rPr>
                <w:rFonts w:ascii="Times New Roman" w:hAnsi="Times New Roman" w:eastAsia="仿宋_GB2312"/>
                <w:b/>
                <w:bCs/>
              </w:rPr>
            </w:pPr>
            <w:r>
              <w:rPr>
                <w:rFonts w:hint="eastAsia" w:ascii="Times New Roman" w:hAnsi="Times New Roman" w:eastAsia="仿宋_GB2312"/>
                <w:b/>
                <w:bCs/>
              </w:rPr>
              <w:t>综合评价意见：
</w:t>
            </w:r>
          </w:p>
          <w:p w14:paraId="677F12D2">
            <w:pPr>
              <w:rPr>
                <w:rFonts w:ascii="Times New Roman" w:hAnsi="Times New Roman" w:eastAsia="仿宋_GB2312"/>
              </w:rPr>
            </w:pPr>
            <w:r>
              <w:rPr>
                <w:rFonts w:hint="eastAsia" w:ascii="Times New Roman" w:hAnsi="Times New Roman" w:eastAsia="仿宋_GB2312"/>
              </w:rPr>
              <w:t>        论文选题符合金融学专业培养目标，具有较高的实用价值。论文体系完整，章节安排合理，介绍了个人理财业务的内涵，以及中信银行个人理财业务的现状、问题和发展对策，整体思路清晰。但论文问题较多，无论是金融专业知识和能力、文献调研和资料搜集能力、论证分析能力、学术规范，还是非常基础的语文功底方面，都难以达到本科毕业的要求，因此综合评价意见为不合格。</w:t>
            </w:r>
          </w:p>
          <w:p w14:paraId="4B041B2F">
            <w:pPr>
              <w:rPr>
                <w:rFonts w:ascii="Times New Roman" w:hAnsi="Times New Roman" w:eastAsia="仿宋_GB2312"/>
                <w:b/>
                <w:bCs/>
              </w:rPr>
            </w:pPr>
            <w:r>
              <w:rPr>
                <w:rFonts w:hint="eastAsia" w:ascii="Times New Roman" w:hAnsi="Times New Roman" w:eastAsia="仿宋_GB2312"/>
                <w:b/>
                <w:bCs/>
              </w:rPr>
              <w:t>不合格原因与建议：
</w:t>
            </w:r>
          </w:p>
          <w:p w14:paraId="7460BB0A">
            <w:pPr>
              <w:rPr>
                <w:rFonts w:ascii="Times New Roman" w:hAnsi="Times New Roman" w:eastAsia="仿宋_GB2312"/>
              </w:rPr>
            </w:pPr>
            <w:r>
              <w:rPr>
                <w:rFonts w:hint="eastAsia" w:ascii="Times New Roman" w:hAnsi="Times New Roman" w:eastAsia="仿宋_GB2312"/>
              </w:rPr>
              <w:t>        一、论文每一章的问题都比较明显或严重。在第1章绪论中，没有详细介绍资管新规（尽管本论文多次提及“资管新规”，但全文并没有介绍新规的内容、重要性以及对银行理财业务的影响）；国内外研究综述内容单薄、思路混乱、引用不规范。第2章对个人理财业务含义的介绍模糊不清且疑似有错别字，譬如“对各种金融器具进行整合重组”疑似应为“金融工具”。第3章对现状的论证特别不充分，3.1篇幅太少且相关内容只有短短一句话；3.2的分析过于简单且流于表面，没有分析中信银行个人理财产品的投资标的、风险等级、收益率等重要内容。第4和5章的论述比较空洞，对策和问题不对应、论证分析跑题或不具有说服力（下文详述）。结论中出现的“研究与社会经济的关系”疑似应该放在绪论而不是结论中。</w:t>
            </w:r>
            <w:r>
              <w:rPr>
                <w:rFonts w:hint="eastAsia" w:ascii="Times New Roman" w:hAnsi="Times New Roman" w:eastAsia="仿宋_GB2312"/>
              </w:rPr>
              <w:br w:type="textWrapping"/>
            </w:r>
            <w:r>
              <w:rPr>
                <w:rFonts w:hint="eastAsia" w:ascii="Times New Roman" w:hAnsi="Times New Roman" w:eastAsia="仿宋_GB2312"/>
              </w:rPr>
              <w:t>        二、文章多处论证分析不严谨、跑题或不具有说服力。譬如4.1的标题是“个人理财业务结构不合理”，但下方第一段较多篇幅却是关于销售模式的问题；4.2.2认为中国金融科技水平较落后，但实际上我国的金融科技水平在世界上比较领先；4.2.3中关于信用意识和金融产品创新的说法比较牵强，让人无法信服；4.3认为从业人员素质不高，恐怕银行从业者不敢苟同，且此部分内容偏主观，缺乏扎实的论据；4.4标题为“缺乏完善的风险防控体系”，但下方内容看着与标题无关，疑似跑题；5.4内容不完整，下方只有5.4.1，漏掉了5.4.2，且5.4.1的第（2）小节疑似跑题，因为标题说的是分散系统性风险，但下方内容却谈的是信息披露、信息技术升级。</w:t>
            </w:r>
            <w:r>
              <w:rPr>
                <w:rFonts w:hint="eastAsia" w:ascii="Times New Roman" w:hAnsi="Times New Roman" w:eastAsia="仿宋_GB2312"/>
              </w:rPr>
              <w:br w:type="textWrapping"/>
            </w:r>
            <w:r>
              <w:rPr>
                <w:rFonts w:hint="eastAsia" w:ascii="Times New Roman" w:hAnsi="Times New Roman" w:eastAsia="仿宋_GB2312"/>
              </w:rPr>
              <w:t>        三、论文体现的调研能力不足。首先，对于文献调研，从国内外研究现状可以看出作者不具备合格的查阅梳理文献的能力；其次，对于数据搜集，从第3章可以看出作者只使用了中信银行年报这个单一的数据来源，与结论中说的“多个渠道进行数据的收集”“从多个方面获取了数据”矛盾。另外，我查阅了中信银行2022年年报，没有从中找到论文3.2中引用的内容。不知作者是否未能正确标注引用的数据来源。</w:t>
            </w:r>
            <w:r>
              <w:rPr>
                <w:rFonts w:hint="eastAsia" w:ascii="Times New Roman" w:hAnsi="Times New Roman" w:eastAsia="仿宋_GB2312"/>
              </w:rPr>
              <w:br w:type="textWrapping"/>
            </w:r>
            <w:r>
              <w:rPr>
                <w:rFonts w:hint="eastAsia" w:ascii="Times New Roman" w:hAnsi="Times New Roman" w:eastAsia="仿宋_GB2312"/>
              </w:rPr>
              <w:t>        四、论文体现的学术规范不合格。首先，作者语文功底比较薄弱，或没有仔细校对检查，导致论文中出现较多行文不规范的问题，包括语句不通顺、标点符号误用、行文偏口语而非书面语的问题。此处举一例：结论中写道“论文通过文献分析总结了国内外商业银行的先进经验，并对其个人理财业务发展所面临的问题进行了全面梳理，基于对中信银行的调查研究。指出当前中国信贷银行个人理财业务中存在的……等问题”。其次，论文引用不规范，尤其体现在研究综述中参考文献的引用方面。</w:t>
            </w:r>
          </w:p>
        </w:tc>
      </w:tr>
      <w:tr w14:paraId="7293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14:paraId="6D5E2869">
            <w:pPr>
              <w:rPr>
                <w:rFonts w:ascii="Times New Roman" w:hAnsi="Times New Roman" w:eastAsia="仿宋_GB2312"/>
                <w:b/>
                <w:bCs/>
              </w:rPr>
            </w:pPr>
            <w:r>
              <w:rPr>
                <w:rFonts w:hint="eastAsia" w:ascii="Times New Roman" w:hAnsi="Times New Roman" w:eastAsia="仿宋_GB2312" w:cs="黑体"/>
                <w:b/>
                <w:bCs/>
                <w:sz w:val="28"/>
                <w:szCs w:val="28"/>
              </w:rPr>
              <w:t>专家4</w:t>
            </w:r>
          </w:p>
        </w:tc>
      </w:tr>
      <w:tr w14:paraId="31C4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14:paraId="0560F21B">
            <w:pPr>
              <w:rPr>
                <w:rFonts w:ascii="Times New Roman" w:hAnsi="Times New Roman" w:eastAsia="仿宋_GB2312"/>
                <w:b/>
                <w:bCs/>
              </w:rPr>
            </w:pPr>
            <w:r>
              <w:rPr>
                <w:rFonts w:hint="eastAsia" w:ascii="Times New Roman" w:hAnsi="Times New Roman" w:eastAsia="仿宋_GB2312"/>
                <w:b/>
                <w:bCs/>
              </w:rPr>
              <w:t>综合评价意见：
</w:t>
            </w:r>
          </w:p>
          <w:p w14:paraId="4B29E5F9">
            <w:pPr>
              <w:rPr>
                <w:rFonts w:ascii="Times New Roman" w:hAnsi="Times New Roman" w:eastAsia="仿宋_GB2312"/>
              </w:rPr>
            </w:pPr>
            <w:r>
              <w:rPr>
                <w:rFonts w:hint="eastAsia" w:ascii="Times New Roman" w:hAnsi="Times New Roman" w:eastAsia="仿宋_GB2312"/>
              </w:rPr>
              <w:t>        该论文选题符合金融专业培养要求，选题意义不突出，文章布局一般。该论文工作量不够饱满，文献综述较为单薄。该论文论据较少，论证不充分，思路不清晰，在逻辑构建上未达到所在专业领域要求。该论文综合应用知识能力较弱，分析解决问题能力较弱，未能体现所在专业领域的能力和素养。该论文正文与参考文献严重脱节，学术规范性较差，未达到本科毕业要求。</w:t>
            </w:r>
          </w:p>
          <w:p w14:paraId="6BC7B319">
            <w:pPr>
              <w:rPr>
                <w:rFonts w:ascii="Times New Roman" w:hAnsi="Times New Roman" w:eastAsia="仿宋_GB2312"/>
                <w:b/>
                <w:bCs/>
              </w:rPr>
            </w:pPr>
            <w:r>
              <w:rPr>
                <w:rFonts w:hint="eastAsia" w:ascii="Times New Roman" w:hAnsi="Times New Roman" w:eastAsia="仿宋_GB2312"/>
                <w:b/>
                <w:bCs/>
              </w:rPr>
              <w:t>不合格原因与建议：
</w:t>
            </w:r>
          </w:p>
          <w:p w14:paraId="1357681E">
            <w:pPr>
              <w:rPr>
                <w:rFonts w:ascii="Times New Roman" w:hAnsi="Times New Roman" w:eastAsia="仿宋_GB2312"/>
              </w:rPr>
            </w:pPr>
            <w:r>
              <w:rPr>
                <w:rFonts w:hint="eastAsia" w:ascii="Times New Roman" w:hAnsi="Times New Roman" w:eastAsia="仿宋_GB2312"/>
              </w:rPr>
              <w:t>        该论文主要存在如下四种问题。（1）该文在1.2节给出了国内外研究综述。在该节，作者在国外文献综述部分介绍了两份文献，在国内文献综述部分介绍了两份文献。该部分存在所介绍成果较少，代表性不足的问题，难以支撑综述结论。（2）该文在逻辑构建中存在多处思路跳跃。比如，在文章的4.3节，作者在未给出严谨论证的情况下，得出我国理财行业“从业人员素质不高”的结论；在文章的4.4节，作者在未给出严谨论证的情况下，给出了“相应的会计、法律和资产评估行业发展速度相对缓慢，且缺乏规范性”的结论。（3）全文存在断句不清晰的问题。比如，在结论部分，有句子“通过多个渠道进行数据的收集试图对中信银行个人理财业务的现状进行更好的介绍与剖析”。（4）全文未有文献引用标记，正文与参考文献严重脱节。综上，审阅人认为该论文未达到本科毕业要求，“分档评价不合格，总体评价不合格”。</w:t>
            </w:r>
          </w:p>
        </w:tc>
      </w:tr>
    </w:tbl>
    <w:p w14:paraId="0BE1E682">
      <w:pPr>
        <w:widowControl/>
        <w:jc w:val="left"/>
      </w:pPr>
      <w:r>
        <w:br w:type="page"/>
      </w:r>
    </w:p>
    <w:p w14:paraId="0EF98A3A">
      <w:pPr>
        <w:jc w:val="center"/>
        <w:rPr>
          <w:rFonts w:ascii="Times New Roman" w:hAnsi="Times New Roman" w:eastAsia="仿宋_GB2312"/>
          <w:b/>
          <w:bCs/>
          <w:sz w:val="32"/>
          <w:szCs w:val="32"/>
        </w:rPr>
      </w:pPr>
      <w:r>
        <w:rPr>
          <w:rFonts w:ascii="Times New Roman" w:hAnsi="Times New Roman" w:eastAsia="仿宋_GB2312"/>
          <w:b/>
          <w:bCs/>
          <w:sz w:val="32"/>
          <w:szCs w:val="32"/>
        </w:rPr>
        <w:t>2023/2024学年度</w:t>
      </w:r>
    </w:p>
    <w:p w14:paraId="60E7361E">
      <w:pPr>
        <w:jc w:val="center"/>
        <w:rPr>
          <w:rFonts w:ascii="Times New Roman" w:hAnsi="Times New Roman" w:eastAsia="仿宋_GB2312"/>
          <w:b/>
          <w:bCs/>
          <w:sz w:val="32"/>
          <w:szCs w:val="32"/>
        </w:rPr>
      </w:pPr>
      <w:r>
        <w:rPr>
          <w:rFonts w:ascii="Times New Roman" w:hAnsi="Times New Roman" w:eastAsia="仿宋_GB2312"/>
          <w:b/>
          <w:bCs/>
          <w:sz w:val="32"/>
          <w:szCs w:val="32"/>
        </w:rPr>
        <w:t>湖北省本科毕业论文 (设计) 抽检</w:t>
      </w:r>
    </w:p>
    <w:p w14:paraId="0FB10F03">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“存在问题毕业论文”的全部“不合格”专家文字意见</w:t>
      </w:r>
    </w:p>
    <w:p w14:paraId="1696AA12">
      <w:pPr>
        <w:jc w:val="center"/>
        <w:rPr>
          <w:rFonts w:ascii="Times New Roman" w:hAnsi="Times New Roman" w:eastAsia="仿宋_GB2312"/>
          <w:b/>
          <w:bCs/>
          <w:sz w:val="32"/>
          <w:szCs w:val="32"/>
        </w:rPr>
      </w:pPr>
      <w:r>
        <w:rPr>
          <w:rFonts w:hint="eastAsia" w:ascii="Times New Roman" w:hAnsi="Times New Roman" w:eastAsia="仿宋_GB2312"/>
          <w:b/>
          <w:bCs/>
          <w:sz w:val="32"/>
          <w:szCs w:val="32"/>
        </w:rPr>
        <w:t>（全部）</w:t>
      </w:r>
    </w:p>
    <w:p w14:paraId="4C17BC01">
      <w:pPr>
        <w:jc w:val="left"/>
        <w:rPr>
          <w:rFonts w:ascii="Times New Roman" w:hAnsi="Times New Roman" w:eastAsia="仿宋_GB2312"/>
        </w:rPr>
      </w:pPr>
      <w:r>
        <w:rPr>
          <w:rFonts w:hint="eastAsia" w:ascii="Times New Roman" w:hAnsi="Times New Roman" w:eastAsia="仿宋_GB2312"/>
          <w:b/>
          <w:bCs/>
          <w:spacing w:val="-2"/>
          <w:position w:val="1"/>
          <w:sz w:val="28"/>
          <w:szCs w:val="28"/>
        </w:rPr>
        <w:t>单位代码及名称：</w:t>
      </w:r>
      <w:r>
        <w:rPr>
          <w:rFonts w:hint="eastAsia" w:ascii="Times New Roman" w:hAnsi="Times New Roman" w:eastAsia="仿宋_GB2312"/>
          <w:spacing w:val="-2"/>
          <w:position w:val="1"/>
          <w:sz w:val="28"/>
          <w:szCs w:val="28"/>
        </w:rPr>
        <w:t>12309|武昌首义学院</w:t>
      </w:r>
    </w:p>
    <w:p w14:paraId="28426D2F">
      <w:pPr>
        <w:jc w:val="left"/>
        <w:rPr>
          <w:rFonts w:ascii="Times New Roman" w:hAnsi="Times New Roman" w:eastAsia="仿宋_GB2312"/>
          <w:spacing w:val="-2"/>
          <w:position w:val="1"/>
          <w:sz w:val="28"/>
          <w:szCs w:val="28"/>
        </w:rPr>
      </w:pPr>
      <w:r>
        <w:rPr>
          <w:rFonts w:hint="eastAsia" w:ascii="Times New Roman" w:hAnsi="Times New Roman" w:eastAsia="仿宋_GB2312"/>
          <w:b/>
          <w:bCs/>
          <w:spacing w:val="-2"/>
          <w:position w:val="1"/>
          <w:sz w:val="28"/>
          <w:szCs w:val="28"/>
        </w:rPr>
        <w:t>专业代码及名称：</w:t>
      </w:r>
      <w:r>
        <w:rPr>
          <w:rFonts w:hint="eastAsia" w:ascii="Times New Roman" w:hAnsi="Times New Roman" w:eastAsia="仿宋_GB2312"/>
          <w:spacing w:val="-2"/>
          <w:position w:val="1"/>
          <w:sz w:val="28"/>
          <w:szCs w:val="28"/>
        </w:rPr>
        <w:t>081001|土木工程</w:t>
      </w:r>
    </w:p>
    <w:p w14:paraId="19C7204E">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学生学号：</w:t>
      </w:r>
      <w:r>
        <w:rPr>
          <w:rFonts w:hint="eastAsia" w:ascii="Times New Roman" w:hAnsi="Times New Roman" w:eastAsia="仿宋_GB2312"/>
          <w:spacing w:val="-2"/>
          <w:position w:val="1"/>
          <w:sz w:val="28"/>
          <w:szCs w:val="28"/>
        </w:rPr>
        <w:t>20420281152682</w:t>
      </w:r>
    </w:p>
    <w:p w14:paraId="380C48A3">
      <w:pPr>
        <w:jc w:val="left"/>
        <w:rPr>
          <w:rFonts w:ascii="Times New Roman" w:hAnsi="Times New Roman" w:eastAsia="仿宋_GB2312"/>
        </w:rPr>
      </w:pPr>
      <w:r>
        <w:rPr>
          <w:rFonts w:hint="eastAsia" w:ascii="Times New Roman" w:hAnsi="Times New Roman" w:eastAsia="仿宋_GB2312"/>
          <w:b/>
          <w:bCs/>
          <w:spacing w:val="-2"/>
          <w:position w:val="1"/>
          <w:sz w:val="28"/>
          <w:szCs w:val="28"/>
        </w:rPr>
        <w:t>学生姓名：</w:t>
      </w:r>
      <w:r>
        <w:rPr>
          <w:rFonts w:hint="eastAsia" w:ascii="Times New Roman" w:hAnsi="Times New Roman" w:eastAsia="仿宋_GB2312"/>
          <w:spacing w:val="-2"/>
          <w:position w:val="1"/>
          <w:sz w:val="28"/>
          <w:szCs w:val="28"/>
        </w:rPr>
        <w:t>钟伟伦</w:t>
      </w:r>
    </w:p>
    <w:p w14:paraId="2F17D14A">
      <w:pPr>
        <w:jc w:val="left"/>
        <w:rPr>
          <w:rFonts w:ascii="Times New Roman" w:hAnsi="Times New Roman" w:eastAsia="仿宋_GB2312"/>
        </w:rPr>
      </w:pPr>
      <w:r>
        <w:rPr>
          <w:rFonts w:hint="eastAsia" w:ascii="Times New Roman" w:hAnsi="Times New Roman" w:eastAsia="仿宋_GB2312"/>
          <w:b/>
          <w:bCs/>
          <w:spacing w:val="-2"/>
          <w:position w:val="1"/>
          <w:sz w:val="28"/>
          <w:szCs w:val="28"/>
        </w:rPr>
        <w:t>指导教师：</w:t>
      </w:r>
      <w:r>
        <w:rPr>
          <w:rFonts w:hint="eastAsia" w:ascii="Times New Roman" w:hAnsi="Times New Roman" w:eastAsia="仿宋_GB2312"/>
          <w:spacing w:val="-2"/>
          <w:position w:val="1"/>
          <w:sz w:val="28"/>
          <w:szCs w:val="28"/>
        </w:rPr>
        <w:t>余婵娟</w:t>
      </w:r>
    </w:p>
    <w:p w14:paraId="1F861F17">
      <w:pPr>
        <w:jc w:val="left"/>
        <w:rPr>
          <w:rFonts w:ascii="Times New Roman" w:hAnsi="Times New Roman" w:eastAsia="仿宋_GB2312"/>
        </w:rPr>
      </w:pPr>
      <w:r>
        <w:rPr>
          <w:rFonts w:hint="eastAsia" w:ascii="Times New Roman" w:hAnsi="Times New Roman" w:eastAsia="仿宋_GB2312"/>
          <w:b/>
          <w:bCs/>
          <w:spacing w:val="-2"/>
          <w:position w:val="1"/>
          <w:sz w:val="28"/>
          <w:szCs w:val="28"/>
        </w:rPr>
        <w:t>论文题目：</w:t>
      </w:r>
      <w:r>
        <w:rPr>
          <w:rFonts w:hint="eastAsia" w:ascii="Times New Roman" w:hAnsi="Times New Roman" w:eastAsia="仿宋_GB2312"/>
          <w:spacing w:val="-2"/>
          <w:position w:val="1"/>
          <w:sz w:val="28"/>
          <w:szCs w:val="28"/>
        </w:rPr>
        <w:t>黄石国家矿山公园人行景观桥设计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68A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14:paraId="1F2E8D07">
            <w:pPr>
              <w:rPr>
                <w:rFonts w:ascii="Times New Roman" w:hAnsi="Times New Roman" w:eastAsia="仿宋_GB2312"/>
                <w:b/>
                <w:bCs/>
              </w:rPr>
            </w:pPr>
            <w:r>
              <w:rPr>
                <w:rFonts w:hint="eastAsia" w:ascii="Times New Roman" w:hAnsi="Times New Roman" w:eastAsia="仿宋_GB2312" w:cs="黑体"/>
                <w:b/>
                <w:bCs/>
                <w:sz w:val="28"/>
                <w:szCs w:val="28"/>
              </w:rPr>
              <w:t>专家2</w:t>
            </w:r>
          </w:p>
        </w:tc>
      </w:tr>
      <w:tr w14:paraId="2D63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14:paraId="446D614A">
            <w:pPr>
              <w:rPr>
                <w:rFonts w:ascii="Times New Roman" w:hAnsi="Times New Roman" w:eastAsia="仿宋_GB2312"/>
                <w:b/>
                <w:bCs/>
              </w:rPr>
            </w:pPr>
            <w:r>
              <w:rPr>
                <w:rFonts w:hint="eastAsia" w:ascii="Times New Roman" w:hAnsi="Times New Roman" w:eastAsia="仿宋_GB2312"/>
                <w:b/>
                <w:bCs/>
              </w:rPr>
              <w:t>综合评价意见：
</w:t>
            </w:r>
          </w:p>
          <w:p w14:paraId="0204AD5A">
            <w:pPr>
              <w:rPr>
                <w:rFonts w:ascii="Times New Roman" w:hAnsi="Times New Roman" w:eastAsia="仿宋_GB2312"/>
              </w:rPr>
            </w:pPr>
            <w:r>
              <w:rPr>
                <w:rFonts w:hint="eastAsia" w:ascii="Times New Roman" w:hAnsi="Times New Roman" w:eastAsia="仿宋_GB2312"/>
              </w:rPr>
              <w:t>        该课题的选题具有很强的工程实践意义，对于学生的专业能力的培养能够提供很好的锻炼机会，但是该毕业设计的学生没有真正理解钢桥设计的流程，对钢桥的验算没有学习到位，毕业设计的格式没有投入足够的精力，设计态度有待端正，专业能力的培养力度有待加强</w:t>
            </w:r>
          </w:p>
          <w:p w14:paraId="16D196AE">
            <w:pPr>
              <w:rPr>
                <w:rFonts w:ascii="Times New Roman" w:hAnsi="Times New Roman" w:eastAsia="仿宋_GB2312"/>
                <w:b/>
                <w:bCs/>
              </w:rPr>
            </w:pPr>
            <w:r>
              <w:rPr>
                <w:rFonts w:hint="eastAsia" w:ascii="Times New Roman" w:hAnsi="Times New Roman" w:eastAsia="仿宋_GB2312"/>
                <w:b/>
                <w:bCs/>
              </w:rPr>
              <w:t>不合格原因与建议：
</w:t>
            </w:r>
          </w:p>
          <w:p w14:paraId="031DD701">
            <w:pPr>
              <w:rPr>
                <w:rFonts w:ascii="Times New Roman" w:hAnsi="Times New Roman" w:eastAsia="仿宋_GB2312"/>
              </w:rPr>
            </w:pPr>
            <w:r>
              <w:rPr>
                <w:rFonts w:hint="eastAsia" w:ascii="Times New Roman" w:hAnsi="Times New Roman" w:eastAsia="仿宋_GB2312"/>
              </w:rPr>
              <w:t>        一、格式问题</w:t>
            </w:r>
            <w:r>
              <w:rPr>
                <w:rFonts w:hint="eastAsia" w:ascii="Times New Roman" w:hAnsi="Times New Roman" w:eastAsia="仿宋_GB2312"/>
              </w:rPr>
              <w:br w:type="textWrapping"/>
            </w:r>
            <w:r>
              <w:rPr>
                <w:rFonts w:hint="eastAsia" w:ascii="Times New Roman" w:hAnsi="Times New Roman" w:eastAsia="仿宋_GB2312"/>
              </w:rPr>
              <w:t>        （1）三个关键词要用标点符号间隔</w:t>
            </w:r>
            <w:r>
              <w:rPr>
                <w:rFonts w:hint="eastAsia" w:ascii="Times New Roman" w:hAnsi="Times New Roman" w:eastAsia="仿宋_GB2312"/>
              </w:rPr>
              <w:br w:type="textWrapping"/>
            </w:r>
            <w:r>
              <w:rPr>
                <w:rFonts w:hint="eastAsia" w:ascii="Times New Roman" w:hAnsi="Times New Roman" w:eastAsia="仿宋_GB2312"/>
              </w:rPr>
              <w:t>        （2）目录中摘要页码存在错误</w:t>
            </w:r>
            <w:r>
              <w:rPr>
                <w:rFonts w:hint="eastAsia" w:ascii="Times New Roman" w:hAnsi="Times New Roman" w:eastAsia="仿宋_GB2312"/>
              </w:rPr>
              <w:br w:type="textWrapping"/>
            </w:r>
            <w:r>
              <w:rPr>
                <w:rFonts w:hint="eastAsia" w:ascii="Times New Roman" w:hAnsi="Times New Roman" w:eastAsia="仿宋_GB2312"/>
              </w:rPr>
              <w:t>        （3）正文第一页第5段、第二页第一段应首行空2格，后续章节还有很多类似的问题</w:t>
            </w:r>
            <w:r>
              <w:rPr>
                <w:rFonts w:hint="eastAsia" w:ascii="Times New Roman" w:hAnsi="Times New Roman" w:eastAsia="仿宋_GB2312"/>
              </w:rPr>
              <w:br w:type="textWrapping"/>
            </w:r>
            <w:r>
              <w:rPr>
                <w:rFonts w:hint="eastAsia" w:ascii="Times New Roman" w:hAnsi="Times New Roman" w:eastAsia="仿宋_GB2312"/>
              </w:rPr>
              <w:t>        （4）方案拟定时，方案一正文中提出的缺点是施工工艺不成熟，而在方案比选表中方案一的描述是施工工艺成熟，前后不对应</w:t>
            </w:r>
            <w:r>
              <w:rPr>
                <w:rFonts w:hint="eastAsia" w:ascii="Times New Roman" w:hAnsi="Times New Roman" w:eastAsia="仿宋_GB2312"/>
              </w:rPr>
              <w:br w:type="textWrapping"/>
            </w:r>
            <w:r>
              <w:rPr>
                <w:rFonts w:hint="eastAsia" w:ascii="Times New Roman" w:hAnsi="Times New Roman" w:eastAsia="仿宋_GB2312"/>
              </w:rPr>
              <w:t>        （5）3.2节正文描述中单位还在用“米”，建议采用国际单位制“m”，后续尚有很多类似的问题</w:t>
            </w:r>
            <w:r>
              <w:rPr>
                <w:rFonts w:hint="eastAsia" w:ascii="Times New Roman" w:hAnsi="Times New Roman" w:eastAsia="仿宋_GB2312"/>
              </w:rPr>
              <w:br w:type="textWrapping"/>
            </w:r>
            <w:r>
              <w:rPr>
                <w:rFonts w:hint="eastAsia" w:ascii="Times New Roman" w:hAnsi="Times New Roman" w:eastAsia="仿宋_GB2312"/>
              </w:rPr>
              <w:t>        （6）第5章  内力书写格式有问题，温度升温和温度降温的内力结果没有显示，同时，钢桥验算方式出现致命问题，没有根据作用组合进行结构强度、刚度和稳定性的验算，只是根据单项作用下进行结构验算，解决复杂问题的专业能力有待进一步提高，建议这部分重新修改</w:t>
            </w:r>
            <w:r>
              <w:rPr>
                <w:rFonts w:hint="eastAsia" w:ascii="Times New Roman" w:hAnsi="Times New Roman" w:eastAsia="仿宋_GB2312"/>
              </w:rPr>
              <w:br w:type="textWrapping"/>
            </w:r>
            <w:r>
              <w:rPr>
                <w:rFonts w:hint="eastAsia" w:ascii="Times New Roman" w:hAnsi="Times New Roman" w:eastAsia="仿宋_GB2312"/>
              </w:rPr>
              <w:t>        （7）缺少钢桥初步设计的细节，如尺寸图、截面信息等，需补充</w:t>
            </w:r>
          </w:p>
        </w:tc>
      </w:tr>
      <w:tr w14:paraId="1B68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left w:val="single" w:color="auto" w:sz="12" w:space="0"/>
              <w:bottom w:val="single" w:color="auto" w:sz="12" w:space="0"/>
              <w:right w:val="single" w:color="auto" w:sz="12" w:space="0"/>
            </w:tcBorders>
          </w:tcPr>
          <w:p w14:paraId="4106D6DE">
            <w:pPr>
              <w:rPr>
                <w:rFonts w:ascii="Times New Roman" w:hAnsi="Times New Roman" w:eastAsia="仿宋_GB2312"/>
                <w:b/>
                <w:bCs/>
              </w:rPr>
            </w:pPr>
            <w:r>
              <w:rPr>
                <w:rFonts w:hint="eastAsia" w:ascii="Times New Roman" w:hAnsi="Times New Roman" w:eastAsia="仿宋_GB2312" w:cs="黑体"/>
                <w:b/>
                <w:bCs/>
                <w:sz w:val="28"/>
                <w:szCs w:val="28"/>
              </w:rPr>
              <w:t>专家4</w:t>
            </w:r>
          </w:p>
        </w:tc>
      </w:tr>
      <w:tr w14:paraId="2E2E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2" w:type="dxa"/>
            <w:tcBorders>
              <w:top w:val="single" w:color="auto" w:sz="12" w:space="0"/>
            </w:tcBorders>
          </w:tcPr>
          <w:p w14:paraId="70FEA6AD">
            <w:pPr>
              <w:rPr>
                <w:rFonts w:ascii="Times New Roman" w:hAnsi="Times New Roman" w:eastAsia="仿宋_GB2312"/>
                <w:b/>
                <w:bCs/>
              </w:rPr>
            </w:pPr>
            <w:r>
              <w:rPr>
                <w:rFonts w:hint="eastAsia" w:ascii="Times New Roman" w:hAnsi="Times New Roman" w:eastAsia="仿宋_GB2312"/>
                <w:b/>
                <w:bCs/>
              </w:rPr>
              <w:t>综合评价意见：
</w:t>
            </w:r>
          </w:p>
          <w:p w14:paraId="7C7A42F6">
            <w:pPr>
              <w:rPr>
                <w:rFonts w:ascii="Times New Roman" w:hAnsi="Times New Roman" w:eastAsia="仿宋_GB2312"/>
              </w:rPr>
            </w:pPr>
            <w:r>
              <w:rPr>
                <w:rFonts w:hint="eastAsia" w:ascii="Times New Roman" w:hAnsi="Times New Roman" w:eastAsia="仿宋_GB2312"/>
              </w:rPr>
              <w:t>        综合评价：</w:t>
            </w:r>
            <w:r>
              <w:rPr>
                <w:rFonts w:hint="eastAsia" w:ascii="Times New Roman" w:hAnsi="Times New Roman" w:eastAsia="仿宋_GB2312"/>
              </w:rPr>
              <w:br w:type="textWrapping"/>
            </w:r>
            <w:r>
              <w:rPr>
                <w:rFonts w:hint="eastAsia" w:ascii="Times New Roman" w:hAnsi="Times New Roman" w:eastAsia="仿宋_GB2312"/>
              </w:rPr>
              <w:t>        （1）该文选题符合本专业方向要求，选题具备一定的理论价值和实践意义，与本专业的培养目标和毕业要求契合。</w:t>
            </w:r>
            <w:r>
              <w:rPr>
                <w:rFonts w:hint="eastAsia" w:ascii="Times New Roman" w:hAnsi="Times New Roman" w:eastAsia="仿宋_GB2312"/>
              </w:rPr>
              <w:br w:type="textWrapping"/>
            </w:r>
            <w:r>
              <w:rPr>
                <w:rFonts w:hint="eastAsia" w:ascii="Times New Roman" w:hAnsi="Times New Roman" w:eastAsia="仿宋_GB2312"/>
              </w:rPr>
              <w:t>          （2）但本文框架及计算分析过程、计算结果有较严重问题，同时本文整体设计思路考虑欠佳。</w:t>
            </w:r>
            <w:r>
              <w:rPr>
                <w:rFonts w:hint="eastAsia" w:ascii="Times New Roman" w:hAnsi="Times New Roman" w:eastAsia="仿宋_GB2312"/>
              </w:rPr>
              <w:br w:type="textWrapping"/>
            </w:r>
            <w:r>
              <w:rPr>
                <w:rFonts w:hint="eastAsia" w:ascii="Times New Roman" w:hAnsi="Times New Roman" w:eastAsia="仿宋_GB2312"/>
              </w:rPr>
              <w:t>          （3）本文设计图纸表现方式有误，图纸内容及表现方式欠妥，达不到施工图要求。</w:t>
            </w:r>
            <w:r>
              <w:rPr>
                <w:rFonts w:hint="eastAsia" w:ascii="Times New Roman" w:hAnsi="Times New Roman" w:eastAsia="仿宋_GB2312"/>
              </w:rPr>
              <w:br w:type="textWrapping"/>
            </w:r>
            <w:r>
              <w:rPr>
                <w:rFonts w:hint="eastAsia" w:ascii="Times New Roman" w:hAnsi="Times New Roman" w:eastAsia="仿宋_GB2312"/>
              </w:rPr>
              <w:t>        下文中列举出该毕业设计中欠恰当或错误之处（部分）</w:t>
            </w:r>
            <w:r>
              <w:rPr>
                <w:rFonts w:hint="eastAsia" w:ascii="Times New Roman" w:hAnsi="Times New Roman" w:eastAsia="仿宋_GB2312"/>
              </w:rPr>
              <w:br w:type="textWrapping"/>
            </w:r>
            <w:r>
              <w:rPr>
                <w:rFonts w:hint="eastAsia" w:ascii="Times New Roman" w:hAnsi="Times New Roman" w:eastAsia="仿宋_GB2312"/>
              </w:rPr>
              <w:t>          （1）本文2.2节方案拟定小节，对方案一介绍中指出该方案缺点为取材困难，  施工工艺不太成熟，  施工较困难；而在2.3节方案比较中同一方案却描述为施工工艺成熟，  材料用量和费用较少；前后矛盾。</w:t>
            </w:r>
            <w:r>
              <w:rPr>
                <w:rFonts w:hint="eastAsia" w:ascii="Times New Roman" w:hAnsi="Times New Roman" w:eastAsia="仿宋_GB2312"/>
              </w:rPr>
              <w:br w:type="textWrapping"/>
            </w:r>
            <w:r>
              <w:rPr>
                <w:rFonts w:hint="eastAsia" w:ascii="Times New Roman" w:hAnsi="Times New Roman" w:eastAsia="仿宋_GB2312"/>
              </w:rPr>
              <w:t>          （2）文中有部分错别字，如：线性优美；钢绗架。</w:t>
            </w:r>
            <w:r>
              <w:rPr>
                <w:rFonts w:hint="eastAsia" w:ascii="Times New Roman" w:hAnsi="Times New Roman" w:eastAsia="仿宋_GB2312"/>
              </w:rPr>
              <w:br w:type="textWrapping"/>
            </w:r>
            <w:r>
              <w:rPr>
                <w:rFonts w:hint="eastAsia" w:ascii="Times New Roman" w:hAnsi="Times New Roman" w:eastAsia="仿宋_GB2312"/>
              </w:rPr>
              <w:t>          （3）技术标准中提及的人群荷载未给出具体取值大小，无法确认后续计算结果的准确性。</w:t>
            </w:r>
            <w:r>
              <w:rPr>
                <w:rFonts w:hint="eastAsia" w:ascii="Times New Roman" w:hAnsi="Times New Roman" w:eastAsia="仿宋_GB2312"/>
              </w:rPr>
              <w:br w:type="textWrapping"/>
            </w:r>
            <w:r>
              <w:rPr>
                <w:rFonts w:hint="eastAsia" w:ascii="Times New Roman" w:hAnsi="Times New Roman" w:eastAsia="仿宋_GB2312"/>
              </w:rPr>
              <w:t>          （4）技术标准中原文描述抗震设防烈度：Ⅴ  度；该描述有误，目前我国最低抗震设防烈度为6度。</w:t>
            </w:r>
            <w:r>
              <w:rPr>
                <w:rFonts w:hint="eastAsia" w:ascii="Times New Roman" w:hAnsi="Times New Roman" w:eastAsia="仿宋_GB2312"/>
              </w:rPr>
              <w:br w:type="textWrapping"/>
            </w:r>
            <w:r>
              <w:rPr>
                <w:rFonts w:hint="eastAsia" w:ascii="Times New Roman" w:hAnsi="Times New Roman" w:eastAsia="仿宋_GB2312"/>
              </w:rPr>
              <w:t>          （5）根据本文第四章设计方案，本文仅选用一种类型H型钢，与实际工程不符。</w:t>
            </w:r>
            <w:r>
              <w:rPr>
                <w:rFonts w:hint="eastAsia" w:ascii="Times New Roman" w:hAnsi="Times New Roman" w:eastAsia="仿宋_GB2312"/>
              </w:rPr>
              <w:br w:type="textWrapping"/>
            </w:r>
            <w:r>
              <w:rPr>
                <w:rFonts w:hint="eastAsia" w:ascii="Times New Roman" w:hAnsi="Times New Roman" w:eastAsia="仿宋_GB2312"/>
              </w:rPr>
              <w:t>          （6）本文表4.1钢化玻璃参数表中钢化玻璃容重等参数取值有误，且在后续midas软件中实际输入值亦为错误值，其计算结果存疑。</w:t>
            </w:r>
            <w:r>
              <w:rPr>
                <w:rFonts w:hint="eastAsia" w:ascii="Times New Roman" w:hAnsi="Times New Roman" w:eastAsia="仿宋_GB2312"/>
              </w:rPr>
              <w:br w:type="textWrapping"/>
            </w:r>
            <w:r>
              <w:rPr>
                <w:rFonts w:hint="eastAsia" w:ascii="Times New Roman" w:hAnsi="Times New Roman" w:eastAsia="仿宋_GB2312"/>
              </w:rPr>
              <w:t>          （7）专业术语表达欠妥，如本文中提及钢桁架为工字钢截面，长  0.2m，  翼缘板宽  0.2m；  可见文中将宽翼缘H型钢高描述为长度，专业性不强。</w:t>
            </w:r>
            <w:r>
              <w:rPr>
                <w:rFonts w:hint="eastAsia" w:ascii="Times New Roman" w:hAnsi="Times New Roman" w:eastAsia="仿宋_GB2312"/>
              </w:rPr>
              <w:br w:type="textWrapping"/>
            </w:r>
            <w:r>
              <w:rPr>
                <w:rFonts w:hint="eastAsia" w:ascii="Times New Roman" w:hAnsi="Times New Roman" w:eastAsia="仿宋_GB2312"/>
              </w:rPr>
              <w:t>          （8）本文的自重、人群荷载等内力计算结果单位有误，同时其内力分布情况不符合规律。</w:t>
            </w:r>
            <w:r>
              <w:rPr>
                <w:rFonts w:hint="eastAsia" w:ascii="Times New Roman" w:hAnsi="Times New Roman" w:eastAsia="仿宋_GB2312"/>
              </w:rPr>
              <w:br w:type="textWrapping"/>
            </w:r>
            <w:r>
              <w:rPr>
                <w:rFonts w:hint="eastAsia" w:ascii="Times New Roman" w:hAnsi="Times New Roman" w:eastAsia="仿宋_GB2312"/>
              </w:rPr>
              <w:t>          （9）升、降温计算结果（图5-11、图5-12）仅有图无数值，计算结果可信度不高。</w:t>
            </w:r>
          </w:p>
          <w:p w14:paraId="069DB020">
            <w:pPr>
              <w:rPr>
                <w:rFonts w:ascii="Times New Roman" w:hAnsi="Times New Roman" w:eastAsia="仿宋_GB2312"/>
                <w:b/>
                <w:bCs/>
              </w:rPr>
            </w:pPr>
            <w:r>
              <w:rPr>
                <w:rFonts w:hint="eastAsia" w:ascii="Times New Roman" w:hAnsi="Times New Roman" w:eastAsia="仿宋_GB2312"/>
                <w:b/>
                <w:bCs/>
              </w:rPr>
              <w:t>不合格原因与建议：
</w:t>
            </w:r>
          </w:p>
          <w:p w14:paraId="6690878D">
            <w:pPr>
              <w:rPr>
                <w:rFonts w:ascii="Times New Roman" w:hAnsi="Times New Roman" w:eastAsia="仿宋_GB2312"/>
              </w:rPr>
            </w:pPr>
            <w:r>
              <w:rPr>
                <w:rFonts w:hint="eastAsia" w:ascii="Times New Roman" w:hAnsi="Times New Roman" w:eastAsia="仿宋_GB2312"/>
              </w:rPr>
              <w:t>        （1）不合格原因：该毕业设计计算书存在较多漏洞，设计计算过程不够严谨、论文表达欠恰当甚至错误，同时本文部分专业用语不符合技术规范；设计框架、专业性不强且存在计算假定不尽合理，计算过程不够清晰，计算结果可信度不高等问题。此外，本文设计图纸无目录、无设计说明且设计深度达不到施工图的要求及深度。</w:t>
            </w:r>
            <w:r>
              <w:rPr>
                <w:rFonts w:hint="eastAsia" w:ascii="Times New Roman" w:hAnsi="Times New Roman" w:eastAsia="仿宋_GB2312"/>
              </w:rPr>
              <w:br w:type="textWrapping"/>
            </w:r>
            <w:r>
              <w:rPr>
                <w:rFonts w:hint="eastAsia" w:ascii="Times New Roman" w:hAnsi="Times New Roman" w:eastAsia="仿宋_GB2312"/>
              </w:rPr>
              <w:t>        （2）建议：按不合格处理。</w:t>
            </w:r>
          </w:p>
        </w:tc>
      </w:tr>
    </w:tbl>
    <w:p w14:paraId="7CA274D3">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77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2024-12-23T08:23:18Z</dcterms:created>
  <dc:creator>Administrator</dc:creator>
  <cp:lastModifiedBy>李植树</cp:lastModifiedBy>
  <dcterms:modified xsi:type="dcterms:W3CDTF">2024-12-23T08:23:36Z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A16703B2BA0B4C88B9D9D09B56DE7838_12</vt:lpwstr>
  </property>
</Properties>
</file>